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73" w:rsidRDefault="008D4F77">
      <w:r w:rsidRPr="006E11F2">
        <w:rPr>
          <w:noProof/>
          <w:color w:val="auto"/>
          <w:kern w:val="0"/>
          <w:sz w:val="24"/>
          <w:szCs w:val="24"/>
        </w:rPr>
        <w:pict>
          <v:rect id="_x0000_s1061" style="position:absolute;margin-left:327.25pt;margin-top:106.9pt;width:11.3pt;height:704.45pt;z-index:251689984;visibility:visible;mso-wrap-edited:f;mso-wrap-distance-left:2.88pt;mso-wrap-distance-top:2.88pt;mso-wrap-distance-right:2.88pt;mso-wrap-distance-bottom:2.88pt;mso-position-horizontal-relative:text;mso-position-vertical:absolute;mso-position-vertical-relative:page" o:regroupid="2" fillcolor="#97cbff" stroked="f" strokecolor="black [0]" insetpen="t" o:cliptowrap="t">
            <v:fill color2="#d6ebff" rotate="t" focus="50%" type="gradient"/>
            <v:stroke>
              <o:left v:ext="view" color="black [0]" joinstyle="miter" insetpen="t"/>
              <o:top v:ext="view" color="black [0]" joinstyle="miter" insetpen="t"/>
              <o:right v:ext="view" color="black [0]" joinstyle="miter" insetpen="t"/>
              <o:bottom v:ext="view" color="black [0]" joinstyle="miter" insetpen="t"/>
              <o:column v:ext="view" color="black [0]"/>
            </v:stroke>
            <v:shadow color="#ccc"/>
            <o:lock v:ext="edit" shapetype="t"/>
            <v:textbox inset="2.88pt,2.88pt,2.88pt,2.88pt"/>
            <w10:wrap anchory="page"/>
          </v:rect>
        </w:pict>
      </w:r>
      <w:r w:rsidR="00082BA2">
        <w:rPr>
          <w:noProof/>
          <w:color w:val="auto"/>
          <w:kern w:val="0"/>
          <w:sz w:val="24"/>
          <w:szCs w:val="24"/>
        </w:rPr>
        <w:pict>
          <v:shapetype id="_x0000_t202" coordsize="21600,21600" o:spt="202" path="m,l,21600r21600,l21600,xe">
            <v:stroke joinstyle="miter"/>
            <v:path gradientshapeok="t" o:connecttype="rect"/>
          </v:shapetype>
          <v:shape id="_x0000_s1095" type="#_x0000_t202" style="position:absolute;margin-left:338.55pt;margin-top:364.7pt;width:172.95pt;height:4.45pt;z-index:251710464" fillcolor="#9dcbff" stroked="f" strokecolor="#61d6ff">
            <v:textbox>
              <w:txbxContent>
                <w:p w:rsidR="00215FCC" w:rsidRDefault="00215FCC"/>
              </w:txbxContent>
            </v:textbox>
          </v:shape>
        </w:pict>
      </w:r>
      <w:r w:rsidR="00082BA2" w:rsidRPr="006E11F2">
        <w:rPr>
          <w:noProof/>
          <w:color w:val="auto"/>
          <w:kern w:val="0"/>
          <w:sz w:val="24"/>
          <w:szCs w:val="24"/>
        </w:rPr>
        <w:pict>
          <v:rect id="_x0000_s1086" style="position:absolute;margin-left:511.5pt;margin-top:106.9pt;width:11.85pt;height:704.45pt;z-index:251703296;visibility:visible;mso-wrap-edited:f;mso-wrap-distance-left:2.88pt;mso-wrap-distance-top:2.88pt;mso-wrap-distance-right:2.88pt;mso-wrap-distance-bottom:2.88pt;mso-position-horizontal-relative:text;mso-position-vertical:absolute;mso-position-vertical-relative:page" o:regroupid="2" fillcolor="#97cbff" stroked="f" strokecolor="black [0]" insetpen="t" o:cliptowrap="t">
            <v:fill color2="#d6ebff" rotate="t" focus="50%" type="gradient"/>
            <v:stroke>
              <o:left v:ext="view" color="black [0]" joinstyle="miter" insetpen="t"/>
              <o:top v:ext="view" color="black [0]" joinstyle="miter" insetpen="t"/>
              <o:right v:ext="view" color="black [0]" joinstyle="miter" insetpen="t"/>
              <o:bottom v:ext="view" color="black [0]" joinstyle="miter" insetpen="t"/>
              <o:column v:ext="view" color="black [0]"/>
            </v:stroke>
            <v:shadow color="#ccc"/>
            <o:lock v:ext="edit" shapetype="t"/>
            <v:textbox inset="2.88pt,2.88pt,2.88pt,2.88pt"/>
            <w10:wrap anchory="page"/>
          </v:rect>
        </w:pict>
      </w:r>
      <w:r w:rsidR="00082BA2">
        <w:rPr>
          <w:noProof/>
          <w:color w:val="auto"/>
          <w:kern w:val="0"/>
          <w:sz w:val="24"/>
          <w:szCs w:val="24"/>
        </w:rPr>
        <w:pict>
          <v:shape id="_x0000_s1096" type="#_x0000_t202" style="position:absolute;margin-left:338.55pt;margin-top:70.9pt;width:172.95pt;height:7.15pt;z-index:251711488" fillcolor="#9dcbff" stroked="f">
            <v:textbox>
              <w:txbxContent>
                <w:p w:rsidR="00082BA2" w:rsidRDefault="00082BA2"/>
              </w:txbxContent>
            </v:textbox>
          </v:shape>
        </w:pict>
      </w:r>
      <w:r w:rsidR="00082BA2">
        <w:rPr>
          <w:noProof/>
          <w:color w:val="auto"/>
          <w:kern w:val="0"/>
          <w:sz w:val="24"/>
          <w:szCs w:val="24"/>
        </w:rPr>
        <w:pict>
          <v:shape id="_x0000_s1091" type="#_x0000_t202" style="position:absolute;margin-left:338.55pt;margin-top:87.65pt;width:172.95pt;height:287.05pt;z-index:251706368" stroked="f">
            <v:textbox>
              <w:txbxContent>
                <w:p w:rsidR="00215FCC" w:rsidRDefault="00215FCC">
                  <w:r>
                    <w:rPr>
                      <w:noProof/>
                    </w:rPr>
                    <w:drawing>
                      <wp:inline distT="0" distB="0" distL="0" distR="0">
                        <wp:extent cx="2004060" cy="340661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04060" cy="3406617"/>
                                </a:xfrm>
                                <a:prstGeom prst="rect">
                                  <a:avLst/>
                                </a:prstGeom>
                                <a:noFill/>
                                <a:ln w="9525">
                                  <a:noFill/>
                                  <a:miter lim="800000"/>
                                  <a:headEnd/>
                                  <a:tailEnd/>
                                </a:ln>
                              </pic:spPr>
                            </pic:pic>
                          </a:graphicData>
                        </a:graphic>
                      </wp:inline>
                    </w:drawing>
                  </w:r>
                </w:p>
              </w:txbxContent>
            </v:textbox>
          </v:shape>
        </w:pict>
      </w:r>
      <w:r w:rsidR="00082BA2" w:rsidRPr="006E11F2">
        <w:rPr>
          <w:noProof/>
          <w:color w:val="auto"/>
          <w:kern w:val="0"/>
          <w:sz w:val="24"/>
          <w:szCs w:val="24"/>
        </w:rPr>
        <w:pict>
          <v:shape id="_x0000_s1076" type="#_x0000_t202" style="position:absolute;margin-left:3.5pt;margin-top:271.55pt;width:315pt;height:211.1pt;z-index:251697152;mso-wrap-distance-left:2.88pt;mso-wrap-distance-top:2.88pt;mso-wrap-distance-right:2.88pt;mso-wrap-distance-bottom:2.88pt;mso-position-horizontal-relative:text;mso-position-vertical-relative:text" o:regroupid="2" filled="f" stroked="f" strokecolor="#9cf" strokeweight="1.5pt" insetpen="t" o:cliptowrap="t">
            <v:stroke>
              <o:left v:ext="view" color="#9cf" weight="1.5pt" joinstyle="miter" insetpen="t"/>
              <o:top v:ext="view" color="#9cf" weight="1.5pt" joinstyle="miter" insetpen="t"/>
              <o:right v:ext="view" color="#9cf" weight="1.5pt" joinstyle="miter" insetpen="t"/>
              <o:bottom v:ext="view" color="#9cf" weight="1.5pt" joinstyle="miter" insetpen="t"/>
              <o:column v:ext="view" color="#d6ebff" weight="1.25pt" insetpen="t" on="t"/>
            </v:stroke>
            <v:shadow color="#ccc"/>
            <v:textbox style="mso-column-count:2;mso-column-margin:19.7pt" inset="2.88pt,2.88pt,2.88pt,2.88pt">
              <w:txbxContent>
                <w:p w:rsidR="00215FCC" w:rsidRPr="00813EDA" w:rsidRDefault="00215FCC" w:rsidP="00F13004">
                  <w:pPr>
                    <w:numPr>
                      <w:ilvl w:val="0"/>
                      <w:numId w:val="16"/>
                    </w:numPr>
                    <w:shd w:val="clear" w:color="auto" w:fill="FFFFFF"/>
                    <w:rPr>
                      <w:rFonts w:ascii="Arial" w:hAnsi="Arial" w:cs="Arial"/>
                      <w:color w:val="4C4C4C"/>
                      <w:szCs w:val="22"/>
                    </w:rPr>
                  </w:pPr>
                  <w:r w:rsidRPr="00813EDA">
                    <w:rPr>
                      <w:rFonts w:ascii="Arial" w:hAnsi="Arial" w:cs="Arial"/>
                      <w:color w:val="4C4C4C"/>
                      <w:szCs w:val="22"/>
                    </w:rPr>
                    <w:t>Please dispense instalments due on pharmacy closed days on a prior suitable day.  </w:t>
                  </w:r>
                </w:p>
                <w:p w:rsidR="00215FCC" w:rsidRPr="00813EDA" w:rsidRDefault="00215FCC" w:rsidP="00F13004">
                  <w:pPr>
                    <w:numPr>
                      <w:ilvl w:val="0"/>
                      <w:numId w:val="16"/>
                    </w:numPr>
                    <w:shd w:val="clear" w:color="auto" w:fill="FFFFFF"/>
                    <w:rPr>
                      <w:rFonts w:ascii="Arial" w:hAnsi="Arial" w:cs="Arial"/>
                      <w:color w:val="4C4C4C"/>
                      <w:szCs w:val="22"/>
                    </w:rPr>
                  </w:pPr>
                  <w:r w:rsidRPr="00813EDA">
                    <w:rPr>
                      <w:rFonts w:ascii="Arial" w:hAnsi="Arial" w:cs="Arial"/>
                      <w:color w:val="4C4C4C"/>
                      <w:szCs w:val="22"/>
                    </w:rPr>
                    <w:t>If an instalment’s collection day has been missed, please still dispense the amount due for any remaining day(s) of that instalment.  </w:t>
                  </w:r>
                </w:p>
                <w:p w:rsidR="00215FCC" w:rsidRPr="00813EDA" w:rsidRDefault="00215FCC" w:rsidP="00F13004">
                  <w:pPr>
                    <w:numPr>
                      <w:ilvl w:val="0"/>
                      <w:numId w:val="16"/>
                    </w:numPr>
                    <w:shd w:val="clear" w:color="auto" w:fill="FFFFFF"/>
                    <w:rPr>
                      <w:rFonts w:ascii="Arial" w:hAnsi="Arial" w:cs="Arial"/>
                      <w:color w:val="4C4C4C"/>
                      <w:szCs w:val="22"/>
                    </w:rPr>
                  </w:pPr>
                  <w:r w:rsidRPr="00813EDA">
                    <w:rPr>
                      <w:rFonts w:ascii="Arial" w:hAnsi="Arial" w:cs="Arial"/>
                      <w:color w:val="4C4C4C"/>
                      <w:szCs w:val="22"/>
                    </w:rPr>
                    <w:t>Consult the prescriber if 3 or more consecutive days of a prescription have been missed.  </w:t>
                  </w:r>
                </w:p>
                <w:p w:rsidR="00215FCC" w:rsidRPr="00813EDA" w:rsidRDefault="00215FCC" w:rsidP="00F13004">
                  <w:pPr>
                    <w:numPr>
                      <w:ilvl w:val="0"/>
                      <w:numId w:val="16"/>
                    </w:numPr>
                    <w:shd w:val="clear" w:color="auto" w:fill="FFFFFF"/>
                    <w:rPr>
                      <w:rFonts w:ascii="Arial" w:hAnsi="Arial" w:cs="Arial"/>
                      <w:color w:val="4C4C4C"/>
                      <w:szCs w:val="22"/>
                    </w:rPr>
                  </w:pPr>
                  <w:r w:rsidRPr="00813EDA">
                    <w:rPr>
                      <w:rFonts w:ascii="Arial" w:hAnsi="Arial" w:cs="Arial"/>
                      <w:color w:val="4C4C4C"/>
                      <w:szCs w:val="22"/>
                    </w:rPr>
                    <w:t>Supervise consumption on collection days.  </w:t>
                  </w:r>
                </w:p>
                <w:p w:rsidR="00215FCC" w:rsidRPr="00813EDA" w:rsidRDefault="00215FCC" w:rsidP="00F13004">
                  <w:pPr>
                    <w:numPr>
                      <w:ilvl w:val="0"/>
                      <w:numId w:val="16"/>
                    </w:numPr>
                    <w:shd w:val="clear" w:color="auto" w:fill="FFFFFF"/>
                    <w:rPr>
                      <w:rFonts w:ascii="Arial" w:hAnsi="Arial" w:cs="Arial"/>
                      <w:color w:val="0C0C0C"/>
                      <w:szCs w:val="22"/>
                    </w:rPr>
                  </w:pPr>
                  <w:r w:rsidRPr="00813EDA">
                    <w:rPr>
                      <w:rFonts w:ascii="Arial" w:hAnsi="Arial" w:cs="Arial"/>
                      <w:color w:val="4C4C4C"/>
                      <w:szCs w:val="22"/>
                    </w:rPr>
                    <w:t xml:space="preserve">Dispense daily doses in separate containers. </w:t>
                  </w:r>
                </w:p>
                <w:p w:rsidR="00215FCC" w:rsidRPr="00813EDA" w:rsidRDefault="00215FCC" w:rsidP="00082BA2">
                  <w:pPr>
                    <w:shd w:val="clear" w:color="auto" w:fill="FFFFFF"/>
                    <w:ind w:left="426"/>
                    <w:rPr>
                      <w:rFonts w:ascii="Arial" w:hAnsi="Arial" w:cs="Arial"/>
                      <w:color w:val="0C0C0C"/>
                      <w:szCs w:val="22"/>
                    </w:rPr>
                  </w:pPr>
                  <w:r w:rsidRPr="00813EDA">
                    <w:rPr>
                      <w:rFonts w:ascii="Arial" w:hAnsi="Arial" w:cs="Arial"/>
                      <w:color w:val="4C4C4C"/>
                      <w:szCs w:val="22"/>
                    </w:rPr>
                    <w:t>(This wording has never been routinely used in Scotland and relates to packaging fees in England. In Scotland, the container allowance is included in the global sum. Container fees are not paid as a separate item. This is separate from instalment fees which are based on the prescriber’s directions.)</w:t>
                  </w:r>
                </w:p>
                <w:p w:rsidR="00215FCC" w:rsidRDefault="00215FCC" w:rsidP="0059000F">
                  <w:pPr>
                    <w:widowControl w:val="0"/>
                    <w:spacing w:after="200" w:line="264" w:lineRule="auto"/>
                    <w:ind w:left="227" w:hanging="227"/>
                    <w:rPr>
                      <w:rFonts w:ascii="Arial" w:hAnsi="Arial" w:cs="Arial"/>
                    </w:rPr>
                  </w:pPr>
                </w:p>
              </w:txbxContent>
            </v:textbox>
          </v:shape>
        </w:pict>
      </w:r>
      <w:r w:rsidR="00082BA2">
        <w:rPr>
          <w:noProof/>
          <w:color w:val="auto"/>
          <w:kern w:val="0"/>
          <w:sz w:val="24"/>
          <w:szCs w:val="24"/>
        </w:rPr>
        <w:pict>
          <v:shape id="_x0000_s1094" type="#_x0000_t202" style="position:absolute;margin-left:.6pt;margin-top:238.2pt;width:320.85pt;height:28.05pt;z-index:251709440" stroked="f">
            <v:textbox>
              <w:txbxContent>
                <w:p w:rsidR="00215FCC" w:rsidRPr="00082BA2" w:rsidRDefault="00215FCC" w:rsidP="0054530B">
                  <w:pPr>
                    <w:shd w:val="clear" w:color="auto" w:fill="FFFFFF"/>
                    <w:rPr>
                      <w:rFonts w:ascii="Arial" w:hAnsi="Arial" w:cs="Arial"/>
                      <w:b/>
                      <w:color w:val="0C0C0C"/>
                    </w:rPr>
                  </w:pPr>
                  <w:r w:rsidRPr="00082BA2">
                    <w:rPr>
                      <w:rFonts w:ascii="Arial" w:hAnsi="Arial" w:cs="Arial"/>
                      <w:b/>
                      <w:color w:val="0C0C0C"/>
                    </w:rPr>
                    <w:t>One or more sets of the new sets of wording can be used to ensure the prescriber’s intentions are clear.</w:t>
                  </w:r>
                </w:p>
                <w:p w:rsidR="00215FCC" w:rsidRDefault="00215FCC"/>
              </w:txbxContent>
            </v:textbox>
          </v:shape>
        </w:pict>
      </w:r>
      <w:r w:rsidR="00215FCC">
        <w:rPr>
          <w:noProof/>
          <w:color w:val="auto"/>
          <w:kern w:val="0"/>
          <w:sz w:val="24"/>
          <w:szCs w:val="24"/>
        </w:rPr>
        <w:pict>
          <v:shape id="_x0000_s1092" type="#_x0000_t202" style="position:absolute;margin-left:338.55pt;margin-top:395.5pt;width:170.15pt;height:278.4pt;z-index:251707392;mso-position-vertical:absolute" stroked="f">
            <v:textbox style="mso-fit-shape-to-text:t">
              <w:txbxContent>
                <w:p w:rsidR="00215FCC" w:rsidRDefault="00215FCC">
                  <w:r w:rsidRPr="004541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60.25pt;height:271.3pt;visibility:visible;mso-wrap-style:square">
                        <v:imagedata r:id="rId7" o:title=""/>
                      </v:shape>
                    </w:pict>
                  </w:r>
                </w:p>
              </w:txbxContent>
            </v:textbox>
          </v:shape>
        </w:pict>
      </w:r>
      <w:r w:rsidR="00215FCC" w:rsidRPr="006E11F2">
        <w:rPr>
          <w:noProof/>
          <w:color w:val="auto"/>
          <w:kern w:val="0"/>
          <w:sz w:val="24"/>
          <w:szCs w:val="24"/>
        </w:rPr>
        <w:pict>
          <v:shape id="_x0000_s1059" type="#_x0000_t202" alt="" style="position:absolute;margin-left:.25pt;margin-top:70.9pt;width:321.15pt;height:161.85pt;z-index:251687936;visibility:visible;mso-wrap-edited:f;mso-wrap-distance-left:2.88pt;mso-wrap-distance-top:2.88pt;mso-wrap-distance-right:2.88pt;mso-wrap-distance-bottom:2.88pt;mso-position-horizontal-relative:text;mso-position-vertical-relative:text" o:regroupid="2" fillcolor="#97cbff" stroked="f" strokecolor="black [0]" strokeweight="0" insetpen="t" o:cliptowrap="t">
            <v:fill color2="#9cf" rotate="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column-margin:5.7pt" inset="2.85pt,2.85pt,2.85pt,2.85pt">
              <w:txbxContent>
                <w:p w:rsidR="00215FCC" w:rsidRDefault="00215FCC" w:rsidP="0054530B">
                  <w:pPr>
                    <w:pStyle w:val="msoaccenttext10"/>
                    <w:widowControl w:val="0"/>
                    <w:spacing w:before="120" w:after="120" w:line="276" w:lineRule="auto"/>
                    <w:ind w:left="85" w:right="85"/>
                    <w:rPr>
                      <w:rFonts w:ascii="Arial Bold" w:hAnsi="Arial Bold" w:cs="Arial"/>
                      <w:spacing w:val="-4"/>
                      <w:sz w:val="20"/>
                      <w:szCs w:val="20"/>
                    </w:rPr>
                  </w:pPr>
                  <w:r w:rsidRPr="00215FCC">
                    <w:rPr>
                      <w:rFonts w:ascii="Arial Bold" w:hAnsi="Arial Bold" w:cs="Arial"/>
                      <w:spacing w:val="-4"/>
                      <w:sz w:val="20"/>
                      <w:szCs w:val="20"/>
                    </w:rPr>
                    <w:t xml:space="preserve">OVERVIEW: </w:t>
                  </w:r>
                </w:p>
                <w:p w:rsidR="00215FCC" w:rsidRPr="00215FCC" w:rsidRDefault="00215FCC" w:rsidP="0054530B">
                  <w:pPr>
                    <w:pStyle w:val="msoaccenttext10"/>
                    <w:widowControl w:val="0"/>
                    <w:spacing w:before="120" w:after="120" w:line="276" w:lineRule="auto"/>
                    <w:ind w:left="85" w:right="85"/>
                    <w:rPr>
                      <w:rFonts w:ascii="Arial Bold" w:hAnsi="Arial Bold" w:cs="Arial"/>
                      <w:spacing w:val="-4"/>
                      <w:sz w:val="20"/>
                      <w:szCs w:val="20"/>
                      <w:lang w:val="en-US"/>
                    </w:rPr>
                  </w:pPr>
                  <w:r w:rsidRPr="00215FCC">
                    <w:rPr>
                      <w:rFonts w:ascii="Arial Bold" w:hAnsi="Arial Bold" w:cs="Arial"/>
                      <w:spacing w:val="-4"/>
                      <w:sz w:val="20"/>
                      <w:szCs w:val="20"/>
                    </w:rPr>
                    <w:t xml:space="preserve">Prescriptions for </w:t>
                  </w:r>
                  <w:r w:rsidRPr="00215FCC">
                    <w:rPr>
                      <w:rFonts w:ascii="Arial" w:hAnsi="Arial" w:cs="Arial"/>
                      <w:spacing w:val="-4"/>
                      <w:sz w:val="20"/>
                      <w:szCs w:val="20"/>
                    </w:rPr>
                    <w:t xml:space="preserve">Controlled Drugs which are supplied in instalments must contain specific wording to allow supply in advance of public holidays </w:t>
                  </w:r>
                  <w:r w:rsidRPr="00215FCC">
                    <w:rPr>
                      <w:rFonts w:ascii="Arial" w:hAnsi="Arial" w:cs="Arial"/>
                      <w:color w:val="0C0C0C"/>
                      <w:sz w:val="20"/>
                      <w:szCs w:val="20"/>
                    </w:rPr>
                    <w:t>or where the patient has failed to collect part of an instalment. In response to concerns about the lack of flexibility with existing arrangements, the </w:t>
                  </w:r>
                  <w:hyperlink r:id="rId8" w:tgtFrame="_blank" w:history="1">
                    <w:r w:rsidRPr="00215FCC">
                      <w:rPr>
                        <w:rFonts w:ascii="Arial" w:hAnsi="Arial" w:cs="Arial"/>
                        <w:color w:val="365F91"/>
                        <w:sz w:val="20"/>
                        <w:szCs w:val="20"/>
                        <w:u w:val="single"/>
                      </w:rPr>
                      <w:t>Home Office</w:t>
                    </w:r>
                  </w:hyperlink>
                  <w:r w:rsidRPr="00215FCC">
                    <w:rPr>
                      <w:rFonts w:ascii="Arial" w:hAnsi="Arial" w:cs="Arial"/>
                      <w:color w:val="0C0C0C"/>
                      <w:sz w:val="20"/>
                      <w:szCs w:val="20"/>
                    </w:rPr>
                    <w:t> has recently published updated sets of wording which are shorter and aim to improve patient safety. Being shorter, it is possible that these could be incorporated into prescribing systems.</w:t>
                  </w:r>
                </w:p>
              </w:txbxContent>
            </v:textbox>
          </v:shape>
        </w:pict>
      </w:r>
      <w:r w:rsidR="00F13004" w:rsidRPr="006E11F2">
        <w:rPr>
          <w:noProof/>
          <w:color w:val="auto"/>
          <w:kern w:val="0"/>
          <w:sz w:val="24"/>
          <w:szCs w:val="24"/>
        </w:rPr>
        <w:pict>
          <v:shape id="_x0000_s1078" type="#_x0000_t202" style="position:absolute;margin-left:.25pt;margin-top:490.35pt;width:321.15pt;height:217.6pt;z-index:251699200;mso-wrap-distance-left:2.88pt;mso-wrap-distance-top:2.88pt;mso-wrap-distance-right:2.88pt;mso-wrap-distance-bottom:2.88pt;mso-position-horizontal-relative:text;mso-position-vertical-relative:text" o:regroupid="2" fillcolor="#d6ebff" stroked="f" strokecolor="black [0]" insetpen="t" o:cliptowrap="t">
            <v:fill color2="#9cf" rotate="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215FCC" w:rsidRDefault="00215FCC" w:rsidP="00F13004">
                  <w:pPr>
                    <w:rPr>
                      <w:rFonts w:ascii="Arial" w:hAnsi="Arial" w:cs="Arial"/>
                      <w:color w:val="0C0C0C"/>
                      <w:szCs w:val="22"/>
                    </w:rPr>
                  </w:pPr>
                  <w:r w:rsidRPr="00F13004">
                    <w:t xml:space="preserve"> </w:t>
                  </w:r>
                  <w:r w:rsidRPr="00F13004">
                    <w:rPr>
                      <w:rFonts w:ascii="Arial" w:hAnsi="Arial" w:cs="Arial"/>
                    </w:rPr>
                    <w:t xml:space="preserve">Note that the </w:t>
                  </w:r>
                  <w:r w:rsidRPr="00813EDA">
                    <w:rPr>
                      <w:rFonts w:ascii="Arial" w:hAnsi="Arial" w:cs="Arial"/>
                      <w:color w:val="0C0C0C"/>
                      <w:szCs w:val="22"/>
                    </w:rPr>
                    <w:t>previous Home Office approved wording can still be used as long as the prescriber’s intentions are clear. Prescriptions with the previous wording should be dispensed as usual where legally compliant and there are no other concerns about supply.</w:t>
                  </w:r>
                </w:p>
                <w:p w:rsidR="00215FCC" w:rsidRDefault="00215FCC" w:rsidP="00F13004">
                  <w:pPr>
                    <w:rPr>
                      <w:rFonts w:ascii="Arial" w:hAnsi="Arial" w:cs="Arial"/>
                      <w:color w:val="0C0C0C"/>
                      <w:szCs w:val="22"/>
                    </w:rPr>
                  </w:pPr>
                </w:p>
                <w:p w:rsidR="00215FCC" w:rsidRDefault="00215FCC" w:rsidP="00F13004">
                  <w:pPr>
                    <w:rPr>
                      <w:rFonts w:ascii="Arial" w:hAnsi="Arial" w:cs="Arial"/>
                    </w:rPr>
                  </w:pPr>
                  <w:r>
                    <w:rPr>
                      <w:rFonts w:ascii="Arial" w:hAnsi="Arial" w:cs="Arial"/>
                    </w:rPr>
                    <w:t xml:space="preserve">One significant change is that instalments can now be supplied on a </w:t>
                  </w:r>
                  <w:r>
                    <w:rPr>
                      <w:rFonts w:ascii="Arial" w:hAnsi="Arial" w:cs="Arial"/>
                      <w:b/>
                    </w:rPr>
                    <w:t>suitable day</w:t>
                  </w:r>
                  <w:r>
                    <w:rPr>
                      <w:rFonts w:ascii="Arial" w:hAnsi="Arial" w:cs="Arial"/>
                    </w:rPr>
                    <w:t xml:space="preserve"> prior to closure; not specifically the day immediately prior to closure.  For a Monday closure, a patient who normally receives a three day supply on a Friday can now be supplied with the Monday dose on the Friday, if suitable.</w:t>
                  </w:r>
                </w:p>
                <w:p w:rsidR="00215FCC" w:rsidRDefault="00215FCC" w:rsidP="00F13004">
                  <w:pPr>
                    <w:rPr>
                      <w:rFonts w:ascii="Arial" w:hAnsi="Arial" w:cs="Arial"/>
                    </w:rPr>
                  </w:pPr>
                </w:p>
                <w:p w:rsidR="00215FCC" w:rsidRDefault="00215FCC" w:rsidP="00F13004">
                  <w:pPr>
                    <w:rPr>
                      <w:rFonts w:ascii="Arial" w:hAnsi="Arial" w:cs="Arial"/>
                      <w:color w:val="0C0C0C"/>
                      <w:szCs w:val="22"/>
                    </w:rPr>
                  </w:pPr>
                  <w:r>
                    <w:rPr>
                      <w:rFonts w:ascii="Arial" w:hAnsi="Arial" w:cs="Arial"/>
                    </w:rPr>
                    <w:t xml:space="preserve">It is not for use to cover normal weekend closing, but instead for closure during normal contracted hours of service.  </w:t>
                  </w:r>
                  <w:r w:rsidRPr="00813EDA">
                    <w:rPr>
                      <w:rFonts w:ascii="Arial" w:hAnsi="Arial" w:cs="Arial"/>
                      <w:color w:val="0C0C0C"/>
                      <w:szCs w:val="22"/>
                    </w:rPr>
                    <w:t xml:space="preserve">Pharmacies </w:t>
                  </w:r>
                  <w:proofErr w:type="gramStart"/>
                  <w:r w:rsidRPr="00813EDA">
                    <w:rPr>
                      <w:rFonts w:ascii="Arial" w:hAnsi="Arial" w:cs="Arial"/>
                      <w:color w:val="0C0C0C"/>
                      <w:szCs w:val="22"/>
                    </w:rPr>
                    <w:t>that are</w:t>
                  </w:r>
                  <w:proofErr w:type="gramEnd"/>
                  <w:r w:rsidRPr="00813EDA">
                    <w:rPr>
                      <w:rFonts w:ascii="Arial" w:hAnsi="Arial" w:cs="Arial"/>
                      <w:color w:val="0C0C0C"/>
                      <w:szCs w:val="22"/>
                    </w:rPr>
                    <w:t xml:space="preserve"> only open for reduced hours on public holidays may supply</w:t>
                  </w:r>
                  <w:r>
                    <w:rPr>
                      <w:rFonts w:ascii="Arial" w:hAnsi="Arial" w:cs="Arial"/>
                      <w:color w:val="0C0C0C"/>
                      <w:szCs w:val="22"/>
                    </w:rPr>
                    <w:t xml:space="preserve"> on a normal working day in advance at the discretion of the pharmacist.</w:t>
                  </w:r>
                </w:p>
                <w:p w:rsidR="00215FCC" w:rsidRDefault="00215FCC" w:rsidP="00F13004">
                  <w:pPr>
                    <w:rPr>
                      <w:rFonts w:ascii="Arial" w:hAnsi="Arial" w:cs="Arial"/>
                      <w:color w:val="0C0C0C"/>
                      <w:szCs w:val="22"/>
                    </w:rPr>
                  </w:pPr>
                </w:p>
                <w:p w:rsidR="00215FCC" w:rsidRPr="00F13004" w:rsidRDefault="00215FCC" w:rsidP="00F13004">
                  <w:pPr>
                    <w:rPr>
                      <w:rFonts w:ascii="Arial" w:hAnsi="Arial" w:cs="Arial"/>
                    </w:rPr>
                  </w:pPr>
                  <w:r>
                    <w:rPr>
                      <w:rFonts w:ascii="Arial" w:hAnsi="Arial" w:cs="Arial"/>
                      <w:color w:val="0C0C0C"/>
                      <w:szCs w:val="22"/>
                    </w:rPr>
                    <w:t xml:space="preserve">The prescription must state separately both the dose and the instalment quantities as per the examples </w:t>
                  </w:r>
                  <w:r w:rsidR="00082BA2">
                    <w:rPr>
                      <w:rFonts w:ascii="Arial" w:hAnsi="Arial" w:cs="Arial"/>
                      <w:color w:val="0C0C0C"/>
                      <w:szCs w:val="22"/>
                    </w:rPr>
                    <w:t>on the right</w:t>
                  </w:r>
                  <w:r>
                    <w:rPr>
                      <w:rFonts w:ascii="Arial" w:hAnsi="Arial" w:cs="Arial"/>
                      <w:color w:val="0C0C0C"/>
                      <w:szCs w:val="22"/>
                    </w:rPr>
                    <w:t>.</w:t>
                  </w:r>
                </w:p>
              </w:txbxContent>
            </v:textbox>
          </v:shape>
        </w:pict>
      </w:r>
      <w:r w:rsidR="00F13004" w:rsidRPr="006E11F2">
        <w:rPr>
          <w:noProof/>
          <w:color w:val="auto"/>
          <w:kern w:val="0"/>
          <w:sz w:val="24"/>
          <w:szCs w:val="24"/>
        </w:rPr>
        <w:pict>
          <v:shape id="_x0000_s1077" type="#_x0000_t202" style="position:absolute;margin-left:.3pt;margin-top:734.25pt;width:321.15pt;height:41.05pt;z-index:251698176;visibility:visible;mso-wrap-edited:f;mso-wrap-distance-left:2.88pt;mso-wrap-distance-top:2.88pt;mso-wrap-distance-right:2.88pt;mso-wrap-distance-bottom:2.88pt;mso-position-horizontal-relative:text;mso-position-vertical-relative:text" o:regroupid="2" fillcolor="#97cbff" stroked="f" strokecolor="black [0]" strokeweight="0" insetpen="t" o:cliptowrap="t">
            <v:fill color2="#174776" rotate="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column-margin:5.7pt" inset="2.85pt,2.85pt,2.85pt,2.85pt">
              <w:txbxContent>
                <w:p w:rsidR="00215FCC" w:rsidRPr="00F13004" w:rsidRDefault="00215FCC" w:rsidP="00F13004">
                  <w:pPr>
                    <w:rPr>
                      <w:rFonts w:ascii="Arial" w:hAnsi="Arial" w:cs="Arial"/>
                      <w:b/>
                    </w:rPr>
                  </w:pPr>
                  <w:r w:rsidRPr="00F13004">
                    <w:rPr>
                      <w:rFonts w:ascii="Arial" w:hAnsi="Arial" w:cs="Arial"/>
                      <w:b/>
                    </w:rPr>
                    <w:t xml:space="preserve">Please note this wording </w:t>
                  </w:r>
                  <w:r w:rsidRPr="00F13004">
                    <w:rPr>
                      <w:rFonts w:ascii="Arial" w:hAnsi="Arial" w:cs="Arial"/>
                      <w:b/>
                      <w:color w:val="0C0C0C"/>
                      <w:szCs w:val="22"/>
                    </w:rPr>
                    <w:t xml:space="preserve">must be used for any schedule 2 or 3 CD supplied in instalments, not just methadone / </w:t>
                  </w:r>
                  <w:proofErr w:type="spellStart"/>
                  <w:r w:rsidRPr="00F13004">
                    <w:rPr>
                      <w:rFonts w:ascii="Arial" w:hAnsi="Arial" w:cs="Arial"/>
                      <w:b/>
                      <w:color w:val="0C0C0C"/>
                      <w:szCs w:val="22"/>
                    </w:rPr>
                    <w:t>Suboxone</w:t>
                  </w:r>
                  <w:proofErr w:type="spellEnd"/>
                  <w:r w:rsidRPr="00F13004">
                    <w:rPr>
                      <w:rFonts w:ascii="Arial" w:hAnsi="Arial" w:cs="Arial"/>
                      <w:b/>
                      <w:color w:val="0C0C0C"/>
                      <w:szCs w:val="22"/>
                      <w:vertAlign w:val="superscript"/>
                    </w:rPr>
                    <w:t>®</w:t>
                  </w:r>
                  <w:r w:rsidRPr="00F13004">
                    <w:rPr>
                      <w:rFonts w:ascii="Arial" w:hAnsi="Arial" w:cs="Arial"/>
                      <w:b/>
                      <w:color w:val="0C0C0C"/>
                      <w:szCs w:val="22"/>
                    </w:rPr>
                    <w:t>.</w:t>
                  </w:r>
                </w:p>
              </w:txbxContent>
            </v:textbox>
          </v:shape>
        </w:pict>
      </w:r>
      <w:r w:rsidR="00F13004">
        <w:rPr>
          <w:noProof/>
          <w:color w:val="auto"/>
          <w:kern w:val="0"/>
          <w:sz w:val="24"/>
          <w:szCs w:val="24"/>
        </w:rPr>
        <w:drawing>
          <wp:anchor distT="0" distB="0" distL="114300" distR="114300" simplePos="0" relativeHeight="251708416" behindDoc="0" locked="0" layoutInCell="1" allowOverlap="1">
            <wp:simplePos x="0" y="0"/>
            <wp:positionH relativeFrom="column">
              <wp:posOffset>5636895</wp:posOffset>
            </wp:positionH>
            <wp:positionV relativeFrom="paragraph">
              <wp:posOffset>-69215</wp:posOffset>
            </wp:positionV>
            <wp:extent cx="1195070" cy="692150"/>
            <wp:effectExtent l="19050" t="0" r="5080" b="0"/>
            <wp:wrapSquare wrapText="left"/>
            <wp:docPr id="69" name="Picture 69" descr="cid:image004.png@01D093DD.BE58F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image004.png@01D093DD.BE58F1E0"/>
                    <pic:cNvPicPr>
                      <a:picLocks noChangeAspect="1" noChangeArrowheads="1"/>
                    </pic:cNvPicPr>
                  </pic:nvPicPr>
                  <pic:blipFill>
                    <a:blip r:embed="rId9" r:link="rId10" cstate="print"/>
                    <a:srcRect/>
                    <a:stretch>
                      <a:fillRect/>
                    </a:stretch>
                  </pic:blipFill>
                  <pic:spPr bwMode="auto">
                    <a:xfrm>
                      <a:off x="0" y="0"/>
                      <a:ext cx="1195070" cy="692150"/>
                    </a:xfrm>
                    <a:prstGeom prst="rect">
                      <a:avLst/>
                    </a:prstGeom>
                    <a:noFill/>
                    <a:ln w="9525">
                      <a:noFill/>
                      <a:miter lim="800000"/>
                      <a:headEnd/>
                      <a:tailEnd/>
                    </a:ln>
                  </pic:spPr>
                </pic:pic>
              </a:graphicData>
            </a:graphic>
          </wp:anchor>
        </w:drawing>
      </w:r>
      <w:r w:rsidR="00F13004">
        <w:rPr>
          <w:noProof/>
          <w:color w:val="auto"/>
          <w:kern w:val="0"/>
          <w:sz w:val="24"/>
          <w:szCs w:val="24"/>
        </w:rPr>
        <w:drawing>
          <wp:anchor distT="0" distB="0" distL="114300" distR="114300" simplePos="0" relativeHeight="251704320" behindDoc="0" locked="0" layoutInCell="1" allowOverlap="1">
            <wp:simplePos x="0" y="0"/>
            <wp:positionH relativeFrom="margin">
              <wp:posOffset>3715385</wp:posOffset>
            </wp:positionH>
            <wp:positionV relativeFrom="margin">
              <wp:posOffset>-142240</wp:posOffset>
            </wp:positionV>
            <wp:extent cx="1608455" cy="764540"/>
            <wp:effectExtent l="19050" t="0" r="0" b="0"/>
            <wp:wrapSquare wrapText="bothSides"/>
            <wp:docPr id="1" name="Picture 0" descr="CDA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ON Logo.PNG"/>
                    <pic:cNvPicPr/>
                  </pic:nvPicPr>
                  <pic:blipFill>
                    <a:blip r:embed="rId11" cstate="print"/>
                    <a:stretch>
                      <a:fillRect/>
                    </a:stretch>
                  </pic:blipFill>
                  <pic:spPr>
                    <a:xfrm>
                      <a:off x="0" y="0"/>
                      <a:ext cx="1608455" cy="764540"/>
                    </a:xfrm>
                    <a:prstGeom prst="rect">
                      <a:avLst/>
                    </a:prstGeom>
                  </pic:spPr>
                </pic:pic>
              </a:graphicData>
            </a:graphic>
          </wp:anchor>
        </w:drawing>
      </w:r>
      <w:r w:rsidR="006E11F2" w:rsidRPr="006E11F2">
        <w:rPr>
          <w:noProof/>
          <w:color w:val="auto"/>
          <w:kern w:val="0"/>
          <w:sz w:val="24"/>
          <w:szCs w:val="24"/>
        </w:rPr>
        <w:pict>
          <v:shape id="_x0000_s1062" type="#_x0000_t202" alt="" style="position:absolute;margin-left:.55pt;margin-top:-2.95pt;width:317.95pt;height:53.7pt;z-index:251691008;visibility:visible;mso-wrap-edited:f;mso-wrap-distance-left:2.88pt;mso-wrap-distance-top:2.88pt;mso-wrap-distance-right:2.88pt;mso-wrap-distance-bottom:2.88pt;mso-position-horizontal-relative:text;mso-position-vertical-relative:text" o:regroupid="2" filled="f" stroked="f" strokecolor="black [0]"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column-margin:5.7pt" inset="2.85pt,2.85pt,2.85pt,2.85pt">
              <w:txbxContent>
                <w:p w:rsidR="00215FCC" w:rsidRDefault="00215FCC" w:rsidP="0054530B">
                  <w:pPr>
                    <w:pStyle w:val="msotitle2"/>
                    <w:widowControl w:val="0"/>
                    <w:rPr>
                      <w:rFonts w:ascii="Franklin Gothic Medium" w:hAnsi="Franklin Gothic Medium"/>
                      <w:color w:val="4F81BD"/>
                      <w:sz w:val="36"/>
                      <w:szCs w:val="36"/>
                      <w:lang w:val="en-US"/>
                    </w:rPr>
                  </w:pPr>
                  <w:r w:rsidRPr="003E5676">
                    <w:rPr>
                      <w:rFonts w:ascii="Franklin Gothic Medium" w:hAnsi="Franklin Gothic Medium"/>
                      <w:color w:val="4F81BD"/>
                      <w:sz w:val="36"/>
                      <w:szCs w:val="36"/>
                      <w:lang w:val="en-US"/>
                    </w:rPr>
                    <w:t>Instalment Prescriptions for CDs:</w:t>
                  </w:r>
                </w:p>
                <w:p w:rsidR="00215FCC" w:rsidRPr="003E5676" w:rsidRDefault="00215FCC" w:rsidP="0054530B">
                  <w:pPr>
                    <w:pStyle w:val="msotitle2"/>
                    <w:widowControl w:val="0"/>
                    <w:rPr>
                      <w:rFonts w:ascii="Franklin Gothic Medium" w:hAnsi="Franklin Gothic Medium"/>
                      <w:color w:val="4F81BD"/>
                      <w:sz w:val="36"/>
                      <w:szCs w:val="36"/>
                      <w:lang w:val="en-US"/>
                    </w:rPr>
                  </w:pPr>
                  <w:r>
                    <w:rPr>
                      <w:rFonts w:ascii="Franklin Gothic Medium" w:hAnsi="Franklin Gothic Medium"/>
                      <w:color w:val="4F81BD"/>
                      <w:sz w:val="36"/>
                      <w:szCs w:val="36"/>
                      <w:lang w:val="en-US"/>
                    </w:rPr>
                    <w:t>Updated Home Office Wording</w:t>
                  </w:r>
                </w:p>
                <w:p w:rsidR="00215FCC" w:rsidRPr="0054530B" w:rsidRDefault="00215FCC" w:rsidP="0054530B">
                  <w:pPr>
                    <w:rPr>
                      <w:szCs w:val="28"/>
                    </w:rPr>
                  </w:pPr>
                </w:p>
              </w:txbxContent>
            </v:textbox>
          </v:shape>
        </w:pict>
      </w:r>
      <w:r w:rsidR="006E11F2" w:rsidRPr="006E11F2">
        <w:rPr>
          <w:noProof/>
          <w:color w:val="4F81BD" w:themeColor="accent1"/>
          <w:kern w:val="0"/>
          <w:sz w:val="24"/>
          <w:szCs w:val="24"/>
        </w:rPr>
        <w:pict>
          <v:line id="_x0000_s1085" style="position:absolute;z-index:251702272;mso-wrap-distance-left:2.88pt;mso-wrap-distance-top:2.88pt;mso-wrap-distance-right:2.88pt;mso-wrap-distance-bottom:2.88pt;mso-position-horizontal-relative:text;mso-position-vertical-relative:text" from=".4pt,60.45pt" to="523.35pt,60.45pt" o:regroupid="2" strokecolor="#1f497d [3215]" strokeweight="3pt" o:cliptowrap="t">
            <v:stroke>
              <o:left v:ext="view" color="black [0]"/>
              <o:top v:ext="view" color="black [0]"/>
              <o:right v:ext="view" color="black [0]"/>
              <o:bottom v:ext="view" color="black [0]"/>
              <o:column v:ext="view" color="black [0]"/>
            </v:stroke>
            <v:shadow color="#ccc"/>
          </v:line>
        </w:pict>
      </w:r>
      <w:r w:rsidR="006E11F2" w:rsidRPr="006E11F2">
        <w:rPr>
          <w:noProof/>
          <w:color w:val="auto"/>
          <w:kern w:val="0"/>
          <w:sz w:val="24"/>
          <w:szCs w:val="24"/>
        </w:rPr>
        <w:pict>
          <v:shape id="_x0000_s1063" type="#_x0000_t202" style="position:absolute;margin-left:338.55pt;margin-top:770.25pt;width:174.35pt;height:41.1pt;z-index:251692032;visibility:visible;mso-wrap-edited:f;mso-wrap-distance-left:2.88pt;mso-wrap-distance-top:2.88pt;mso-wrap-distance-right:2.88pt;mso-wrap-distance-bottom:2.88pt;mso-position-horizontal-relative:text;mso-position-vertical:absolute;mso-position-vertical-relative:page" o:regroupid="2" fillcolor="#97cbff" stroked="f" strokecolor="#89c4ff" strokeweight="1.5pt" insetpen="t" o:cliptowrap="t">
            <v:stroke>
              <o:left v:ext="view" color="#89c4ff" weight="1.5pt" joinstyle="miter" insetpen="t"/>
              <o:top v:ext="view" color="#89c4ff" weight="1.5pt" joinstyle="miter" insetpen="t"/>
              <o:right v:ext="view" color="#89c4ff" weight="1.5pt" joinstyle="miter" insetpen="t"/>
              <o:bottom v:ext="view" color="#89c4ff" weight="1.5pt" joinstyle="miter" insetpen="t"/>
              <o:column v:ext="view" color="black [0]"/>
            </v:stroke>
            <v:shadow color="#ccc"/>
            <o:lock v:ext="edit" shapetype="t"/>
            <v:textbox style="mso-column-margin:5.7pt" inset="2.85pt,2.85pt,2.85pt,2.85pt">
              <w:txbxContent>
                <w:p w:rsidR="00215FCC" w:rsidRDefault="00215FCC" w:rsidP="0059000F">
                  <w:pPr>
                    <w:pStyle w:val="ListBullet2"/>
                    <w:widowControl w:val="0"/>
                    <w:spacing w:after="0"/>
                    <w:ind w:firstLine="0"/>
                    <w:jc w:val="center"/>
                    <w:rPr>
                      <w:rFonts w:ascii="Arial" w:hAnsi="Arial" w:cs="Arial"/>
                      <w:color w:val="000000"/>
                      <w:sz w:val="18"/>
                      <w:szCs w:val="18"/>
                      <w:lang w:val="en-US"/>
                    </w:rPr>
                  </w:pPr>
                  <w:r>
                    <w:rPr>
                      <w:rFonts w:ascii="Arial" w:hAnsi="Arial" w:cs="Arial"/>
                      <w:color w:val="000000"/>
                      <w:sz w:val="18"/>
                      <w:szCs w:val="18"/>
                      <w:lang w:val="en-US"/>
                    </w:rPr>
                    <w:t xml:space="preserve">Document approved by </w:t>
                  </w:r>
                </w:p>
                <w:p w:rsidR="00215FCC" w:rsidRDefault="00215FCC" w:rsidP="0059000F">
                  <w:pPr>
                    <w:pStyle w:val="ListBullet2"/>
                    <w:widowControl w:val="0"/>
                    <w:spacing w:after="0"/>
                    <w:ind w:firstLine="0"/>
                    <w:jc w:val="center"/>
                    <w:rPr>
                      <w:rFonts w:ascii="Arial" w:hAnsi="Arial" w:cs="Arial"/>
                      <w:color w:val="000000"/>
                      <w:sz w:val="18"/>
                      <w:szCs w:val="18"/>
                      <w:lang w:val="en-US"/>
                    </w:rPr>
                  </w:pPr>
                  <w:r>
                    <w:rPr>
                      <w:rFonts w:ascii="Arial" w:hAnsi="Arial" w:cs="Arial"/>
                      <w:color w:val="000000"/>
                      <w:sz w:val="18"/>
                      <w:szCs w:val="18"/>
                      <w:lang w:val="en-US"/>
                    </w:rPr>
                    <w:t xml:space="preserve">CDAON Executive Group </w:t>
                  </w:r>
                </w:p>
                <w:p w:rsidR="00215FCC" w:rsidRDefault="00215FCC" w:rsidP="0059000F">
                  <w:pPr>
                    <w:pStyle w:val="ListBullet2"/>
                    <w:widowControl w:val="0"/>
                    <w:spacing w:after="0"/>
                    <w:ind w:firstLine="0"/>
                    <w:jc w:val="center"/>
                    <w:rPr>
                      <w:rFonts w:ascii="Arial" w:hAnsi="Arial" w:cs="Arial"/>
                      <w:color w:val="000000"/>
                      <w:sz w:val="18"/>
                      <w:szCs w:val="18"/>
                      <w:lang w:val="en-US"/>
                    </w:rPr>
                  </w:pPr>
                  <w:r>
                    <w:rPr>
                      <w:rFonts w:ascii="Arial" w:hAnsi="Arial" w:cs="Arial"/>
                      <w:color w:val="000000"/>
                      <w:sz w:val="18"/>
                      <w:szCs w:val="18"/>
                      <w:lang w:val="en-US"/>
                    </w:rPr>
                    <w:t>April 2016</w:t>
                  </w:r>
                </w:p>
              </w:txbxContent>
            </v:textbox>
            <w10:wrap anchory="page"/>
          </v:shape>
        </w:pict>
      </w:r>
      <w:r w:rsidR="00AB0573">
        <w:t xml:space="preserve"> </w:t>
      </w:r>
    </w:p>
    <w:sectPr w:rsidR="00AB0573" w:rsidSect="005900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B27"/>
    <w:multiLevelType w:val="hybridMultilevel"/>
    <w:tmpl w:val="252EBADC"/>
    <w:lvl w:ilvl="0" w:tplc="D9BCBB22">
      <w:numFmt w:val="bullet"/>
      <w:lvlText w:val=""/>
      <w:lvlJc w:val="left"/>
      <w:pPr>
        <w:ind w:left="720" w:hanging="360"/>
      </w:pPr>
      <w:rPr>
        <w:rFonts w:ascii="Symbol" w:hAnsi="Symbol" w:cstheme="minorBidi"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37D01"/>
    <w:multiLevelType w:val="hybridMultilevel"/>
    <w:tmpl w:val="82429528"/>
    <w:lvl w:ilvl="0" w:tplc="BCDCF3E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D36F2"/>
    <w:multiLevelType w:val="hybridMultilevel"/>
    <w:tmpl w:val="F2BA8452"/>
    <w:lvl w:ilvl="0" w:tplc="BCDCF3E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64640"/>
    <w:multiLevelType w:val="hybridMultilevel"/>
    <w:tmpl w:val="80C21D72"/>
    <w:lvl w:ilvl="0" w:tplc="BCDCF3E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A91026"/>
    <w:multiLevelType w:val="hybridMultilevel"/>
    <w:tmpl w:val="8F24BF6A"/>
    <w:lvl w:ilvl="0" w:tplc="BCDCF3E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C1271CB"/>
    <w:multiLevelType w:val="hybridMultilevel"/>
    <w:tmpl w:val="A6CE9748"/>
    <w:lvl w:ilvl="0" w:tplc="D9BCBB22">
      <w:numFmt w:val="bullet"/>
      <w:lvlText w:val=""/>
      <w:lvlJc w:val="left"/>
      <w:pPr>
        <w:ind w:left="720" w:hanging="360"/>
      </w:pPr>
      <w:rPr>
        <w:rFonts w:ascii="Symbol" w:hAnsi="Symbol" w:cstheme="minorBidi"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5D1660"/>
    <w:multiLevelType w:val="hybridMultilevel"/>
    <w:tmpl w:val="D38E7ABA"/>
    <w:lvl w:ilvl="0" w:tplc="BCDCF3E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682147"/>
    <w:multiLevelType w:val="hybridMultilevel"/>
    <w:tmpl w:val="3544D852"/>
    <w:lvl w:ilvl="0" w:tplc="BCDCF3E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934E51"/>
    <w:multiLevelType w:val="hybridMultilevel"/>
    <w:tmpl w:val="64BCE192"/>
    <w:lvl w:ilvl="0" w:tplc="D9BCBB22">
      <w:numFmt w:val="bullet"/>
      <w:lvlText w:val=""/>
      <w:lvlJc w:val="left"/>
      <w:pPr>
        <w:ind w:left="720" w:hanging="360"/>
      </w:pPr>
      <w:rPr>
        <w:rFonts w:ascii="Symbol" w:hAnsi="Symbol" w:cstheme="minorBidi"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427974"/>
    <w:multiLevelType w:val="hybridMultilevel"/>
    <w:tmpl w:val="3CAC1A7C"/>
    <w:lvl w:ilvl="0" w:tplc="D9BCBB22">
      <w:numFmt w:val="bullet"/>
      <w:lvlText w:val=""/>
      <w:lvlJc w:val="left"/>
      <w:pPr>
        <w:ind w:left="720" w:hanging="360"/>
      </w:pPr>
      <w:rPr>
        <w:rFonts w:ascii="Symbol" w:hAnsi="Symbol" w:cstheme="minorBidi"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949DE"/>
    <w:multiLevelType w:val="hybridMultilevel"/>
    <w:tmpl w:val="2466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992049"/>
    <w:multiLevelType w:val="hybridMultilevel"/>
    <w:tmpl w:val="73D06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8B90697"/>
    <w:multiLevelType w:val="hybridMultilevel"/>
    <w:tmpl w:val="17C896DC"/>
    <w:lvl w:ilvl="0" w:tplc="D9BCBB22">
      <w:numFmt w:val="bullet"/>
      <w:lvlText w:val=""/>
      <w:lvlJc w:val="left"/>
      <w:pPr>
        <w:ind w:left="720" w:hanging="360"/>
      </w:pPr>
      <w:rPr>
        <w:rFonts w:ascii="Symbol" w:hAnsi="Symbol" w:cstheme="minorBidi"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F47BB7"/>
    <w:multiLevelType w:val="hybridMultilevel"/>
    <w:tmpl w:val="E17CDC3A"/>
    <w:lvl w:ilvl="0" w:tplc="D9BCBB22">
      <w:numFmt w:val="bullet"/>
      <w:lvlText w:val=""/>
      <w:lvlJc w:val="left"/>
      <w:pPr>
        <w:ind w:left="720" w:hanging="360"/>
      </w:pPr>
      <w:rPr>
        <w:rFonts w:ascii="Symbol" w:hAnsi="Symbol" w:cstheme="minorBidi"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D02453"/>
    <w:multiLevelType w:val="hybridMultilevel"/>
    <w:tmpl w:val="88FE026E"/>
    <w:lvl w:ilvl="0" w:tplc="D9BCBB22">
      <w:numFmt w:val="bullet"/>
      <w:lvlText w:val=""/>
      <w:lvlJc w:val="left"/>
      <w:pPr>
        <w:ind w:left="360" w:hanging="360"/>
      </w:pPr>
      <w:rPr>
        <w:rFonts w:ascii="Symbol" w:hAnsi="Symbol" w:hint="default"/>
        <w:color w:val="4F81B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2685EDD"/>
    <w:multiLevelType w:val="hybridMultilevel"/>
    <w:tmpl w:val="3F1A14C4"/>
    <w:lvl w:ilvl="0" w:tplc="D9BCBB22">
      <w:numFmt w:val="bullet"/>
      <w:lvlText w:val=""/>
      <w:lvlJc w:val="left"/>
      <w:pPr>
        <w:ind w:left="1080" w:hanging="360"/>
      </w:pPr>
      <w:rPr>
        <w:rFonts w:ascii="Symbol" w:hAnsi="Symbol" w:cstheme="minorBidi"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62F456F"/>
    <w:multiLevelType w:val="hybridMultilevel"/>
    <w:tmpl w:val="C938DE86"/>
    <w:lvl w:ilvl="0" w:tplc="08090001">
      <w:start w:val="1"/>
      <w:numFmt w:val="bullet"/>
      <w:lvlText w:val=""/>
      <w:lvlJc w:val="left"/>
      <w:pPr>
        <w:ind w:left="360" w:hanging="360"/>
      </w:pPr>
      <w:rPr>
        <w:rFonts w:ascii="Symbol" w:hAnsi="Symbol" w:hint="default"/>
      </w:rPr>
    </w:lvl>
    <w:lvl w:ilvl="1" w:tplc="E3D28514">
      <w:start w:val="1"/>
      <w:numFmt w:val="bullet"/>
      <w:lvlText w:val="o"/>
      <w:lvlJc w:val="left"/>
      <w:pPr>
        <w:ind w:left="1080" w:hanging="360"/>
      </w:pPr>
      <w:rPr>
        <w:rFonts w:ascii="Courier New" w:hAnsi="Courier New" w:hint="default"/>
        <w:color w:val="548DD4" w:themeColor="text2" w:themeTint="99"/>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15"/>
  </w:num>
  <w:num w:numId="5">
    <w:abstractNumId w:val="9"/>
  </w:num>
  <w:num w:numId="6">
    <w:abstractNumId w:val="6"/>
  </w:num>
  <w:num w:numId="7">
    <w:abstractNumId w:val="13"/>
  </w:num>
  <w:num w:numId="8">
    <w:abstractNumId w:val="0"/>
  </w:num>
  <w:num w:numId="9">
    <w:abstractNumId w:val="3"/>
  </w:num>
  <w:num w:numId="10">
    <w:abstractNumId w:val="8"/>
  </w:num>
  <w:num w:numId="11">
    <w:abstractNumId w:val="1"/>
  </w:num>
  <w:num w:numId="12">
    <w:abstractNumId w:val="5"/>
  </w:num>
  <w:num w:numId="13">
    <w:abstractNumId w:val="2"/>
  </w:num>
  <w:num w:numId="14">
    <w:abstractNumId w:val="12"/>
  </w:num>
  <w:num w:numId="15">
    <w:abstractNumId w:val="11"/>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20"/>
  <w:drawingGridHorizontalSpacing w:val="110"/>
  <w:displayHorizontalDrawingGridEvery w:val="2"/>
  <w:characterSpacingControl w:val="doNotCompress"/>
  <w:compat/>
  <w:rsids>
    <w:rsidRoot w:val="0059000F"/>
    <w:rsid w:val="00082BA2"/>
    <w:rsid w:val="00215FCC"/>
    <w:rsid w:val="00257473"/>
    <w:rsid w:val="002C6BCB"/>
    <w:rsid w:val="002F6037"/>
    <w:rsid w:val="00361931"/>
    <w:rsid w:val="00451725"/>
    <w:rsid w:val="0054530B"/>
    <w:rsid w:val="0059000F"/>
    <w:rsid w:val="006D57D9"/>
    <w:rsid w:val="006E11F2"/>
    <w:rsid w:val="006E3C76"/>
    <w:rsid w:val="0085665A"/>
    <w:rsid w:val="008A5E9F"/>
    <w:rsid w:val="008D4F77"/>
    <w:rsid w:val="00927A10"/>
    <w:rsid w:val="00A23418"/>
    <w:rsid w:val="00A93BEA"/>
    <w:rsid w:val="00AB0573"/>
    <w:rsid w:val="00B41A7F"/>
    <w:rsid w:val="00B4643A"/>
    <w:rsid w:val="00CD6393"/>
    <w:rsid w:val="00DA3168"/>
    <w:rsid w:val="00DE6BA4"/>
    <w:rsid w:val="00E40DD7"/>
    <w:rsid w:val="00E565BF"/>
    <w:rsid w:val="00E67F2D"/>
    <w:rsid w:val="00F13004"/>
    <w:rsid w:val="00F25552"/>
    <w:rsid w:val="00F261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0F"/>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59000F"/>
    <w:pPr>
      <w:spacing w:line="208" w:lineRule="auto"/>
      <w:jc w:val="center"/>
      <w:outlineLvl w:val="3"/>
    </w:pPr>
    <w:rPr>
      <w:rFonts w:ascii="Agency FB" w:eastAsia="Times New Roman" w:hAnsi="Agency FB" w:cs="Times New Roman"/>
      <w:b/>
      <w:bCs/>
      <w:color w:val="FFFFFF"/>
      <w:kern w:val="28"/>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000F"/>
    <w:rPr>
      <w:rFonts w:ascii="Agency FB" w:eastAsia="Times New Roman" w:hAnsi="Agency FB" w:cs="Times New Roman"/>
      <w:b/>
      <w:bCs/>
      <w:color w:val="FFFFFF"/>
      <w:kern w:val="28"/>
      <w:sz w:val="24"/>
      <w:szCs w:val="24"/>
      <w:lang w:eastAsia="en-GB"/>
    </w:rPr>
  </w:style>
  <w:style w:type="paragraph" w:styleId="ListBullet2">
    <w:name w:val="List Bullet 2"/>
    <w:uiPriority w:val="99"/>
    <w:semiHidden/>
    <w:unhideWhenUsed/>
    <w:rsid w:val="0059000F"/>
    <w:pPr>
      <w:spacing w:line="268" w:lineRule="auto"/>
      <w:ind w:left="216" w:hanging="216"/>
    </w:pPr>
    <w:rPr>
      <w:rFonts w:ascii="Agency FB" w:eastAsia="Times New Roman" w:hAnsi="Agency FB" w:cs="Times New Roman"/>
      <w:b/>
      <w:bCs/>
      <w:color w:val="FFFFFF"/>
      <w:kern w:val="28"/>
      <w:sz w:val="20"/>
      <w:szCs w:val="20"/>
      <w:lang w:eastAsia="en-GB"/>
    </w:rPr>
  </w:style>
  <w:style w:type="paragraph" w:customStyle="1" w:styleId="msotitle2">
    <w:name w:val="msotitle2"/>
    <w:rsid w:val="0059000F"/>
    <w:pPr>
      <w:spacing w:after="0" w:line="271" w:lineRule="auto"/>
    </w:pPr>
    <w:rPr>
      <w:rFonts w:ascii="Agency FB" w:eastAsia="Times New Roman" w:hAnsi="Agency FB" w:cs="Times New Roman"/>
      <w:b/>
      <w:bCs/>
      <w:color w:val="3399FF"/>
      <w:kern w:val="28"/>
      <w:sz w:val="60"/>
      <w:szCs w:val="60"/>
      <w:lang w:eastAsia="en-GB"/>
    </w:rPr>
  </w:style>
  <w:style w:type="paragraph" w:customStyle="1" w:styleId="msoaccenttext7">
    <w:name w:val="msoaccenttext7"/>
    <w:rsid w:val="0059000F"/>
    <w:pPr>
      <w:spacing w:after="0" w:line="271" w:lineRule="auto"/>
    </w:pPr>
    <w:rPr>
      <w:rFonts w:ascii="Agency FB" w:eastAsia="Times New Roman" w:hAnsi="Agency FB" w:cs="Times New Roman"/>
      <w:b/>
      <w:bCs/>
      <w:color w:val="000000"/>
      <w:kern w:val="28"/>
      <w:sz w:val="20"/>
      <w:szCs w:val="20"/>
      <w:lang w:eastAsia="en-GB"/>
    </w:rPr>
  </w:style>
  <w:style w:type="paragraph" w:customStyle="1" w:styleId="msoaccenttext10">
    <w:name w:val="msoaccenttext10"/>
    <w:rsid w:val="0059000F"/>
    <w:pPr>
      <w:spacing w:after="0" w:line="271" w:lineRule="auto"/>
    </w:pPr>
    <w:rPr>
      <w:rFonts w:ascii="Agency FB" w:eastAsia="Times New Roman" w:hAnsi="Agency FB" w:cs="Times New Roman"/>
      <w:b/>
      <w:bCs/>
      <w:color w:val="000000"/>
      <w:kern w:val="28"/>
      <w:sz w:val="24"/>
      <w:szCs w:val="24"/>
      <w:lang w:eastAsia="en-GB"/>
    </w:rPr>
  </w:style>
  <w:style w:type="paragraph" w:styleId="BalloonText">
    <w:name w:val="Balloon Text"/>
    <w:basedOn w:val="Normal"/>
    <w:link w:val="BalloonTextChar"/>
    <w:uiPriority w:val="99"/>
    <w:semiHidden/>
    <w:unhideWhenUsed/>
    <w:rsid w:val="00A23418"/>
    <w:rPr>
      <w:rFonts w:ascii="Tahoma" w:hAnsi="Tahoma" w:cs="Tahoma"/>
      <w:sz w:val="16"/>
      <w:szCs w:val="16"/>
    </w:rPr>
  </w:style>
  <w:style w:type="character" w:customStyle="1" w:styleId="BalloonTextChar">
    <w:name w:val="Balloon Text Char"/>
    <w:basedOn w:val="DefaultParagraphFont"/>
    <w:link w:val="BalloonText"/>
    <w:uiPriority w:val="99"/>
    <w:semiHidden/>
    <w:rsid w:val="00A23418"/>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85665A"/>
    <w:pPr>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ircular-0272015-approved-mandatory-requisition-form-and-home-office-approved-wor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cid:image004.png@01D093DD.BE58F1E0"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6E9AF-79E2-4248-9210-42EAFEE4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cchalmers1</dc:creator>
  <cp:lastModifiedBy>wrobb</cp:lastModifiedBy>
  <cp:revision>4</cp:revision>
  <cp:lastPrinted>2016-05-05T10:55:00Z</cp:lastPrinted>
  <dcterms:created xsi:type="dcterms:W3CDTF">2016-05-05T11:09:00Z</dcterms:created>
  <dcterms:modified xsi:type="dcterms:W3CDTF">2016-05-05T11:15:00Z</dcterms:modified>
</cp:coreProperties>
</file>