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E" w:rsidRDefault="0049586E" w:rsidP="0049586E">
      <w:pPr>
        <w:pStyle w:val="NoSpacing"/>
      </w:pPr>
    </w:p>
    <w:tbl>
      <w:tblPr>
        <w:tblStyle w:val="MediumShading2-Accent5"/>
        <w:tblW w:w="0" w:type="auto"/>
        <w:tblLook w:val="04A0"/>
      </w:tblPr>
      <w:tblGrid>
        <w:gridCol w:w="2185"/>
        <w:gridCol w:w="7057"/>
      </w:tblGrid>
      <w:tr w:rsidR="0049586E" w:rsidRPr="009B0711" w:rsidTr="009B0711">
        <w:trPr>
          <w:cnfStyle w:val="100000000000"/>
        </w:trPr>
        <w:tc>
          <w:tcPr>
            <w:cnfStyle w:val="001000000100"/>
            <w:tcW w:w="2142" w:type="dxa"/>
          </w:tcPr>
          <w:p w:rsidR="0049586E" w:rsidRPr="009B0711" w:rsidRDefault="0084299F" w:rsidP="0049586E">
            <w:pPr>
              <w:pStyle w:val="NoSpacing"/>
              <w:rPr>
                <w:sz w:val="28"/>
                <w:szCs w:val="28"/>
              </w:rPr>
            </w:pPr>
            <w:r w:rsidRPr="009B0711">
              <w:rPr>
                <w:sz w:val="28"/>
                <w:szCs w:val="28"/>
              </w:rPr>
              <w:t>Drug Class</w:t>
            </w:r>
          </w:p>
        </w:tc>
        <w:tc>
          <w:tcPr>
            <w:tcW w:w="7100" w:type="dxa"/>
          </w:tcPr>
          <w:p w:rsidR="0049586E" w:rsidRPr="009B0711" w:rsidRDefault="009B0711" w:rsidP="0049586E">
            <w:pPr>
              <w:pStyle w:val="NoSpacing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Cytostatic A</w:t>
            </w:r>
            <w:r w:rsidR="00642000" w:rsidRPr="009B0711">
              <w:rPr>
                <w:sz w:val="28"/>
                <w:szCs w:val="28"/>
              </w:rPr>
              <w:t>gents</w:t>
            </w:r>
          </w:p>
        </w:tc>
      </w:tr>
      <w:tr w:rsidR="0049586E" w:rsidTr="009B0711">
        <w:trPr>
          <w:cnfStyle w:val="000000100000"/>
        </w:trPr>
        <w:tc>
          <w:tcPr>
            <w:cnfStyle w:val="001000000000"/>
            <w:tcW w:w="2142" w:type="dxa"/>
            <w:tcBorders>
              <w:bottom w:val="single" w:sz="4" w:space="0" w:color="auto"/>
            </w:tcBorders>
          </w:tcPr>
          <w:p w:rsidR="0049586E" w:rsidRDefault="0084299F" w:rsidP="0049586E">
            <w:pPr>
              <w:pStyle w:val="NoSpacing"/>
            </w:pPr>
            <w:r>
              <w:t>Antibacterials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299F" w:rsidRDefault="0084299F" w:rsidP="0049586E">
            <w:pPr>
              <w:pStyle w:val="NoSpacing"/>
              <w:cnfStyle w:val="000000100000"/>
            </w:pPr>
            <w:r>
              <w:t>Chloramphenicol</w:t>
            </w:r>
          </w:p>
        </w:tc>
      </w:tr>
      <w:tr w:rsidR="0049586E" w:rsidTr="009B0711">
        <w:tc>
          <w:tcPr>
            <w:cnfStyle w:val="00100000000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49586E" w:rsidRDefault="0084299F" w:rsidP="0049586E">
            <w:pPr>
              <w:pStyle w:val="NoSpacing"/>
            </w:pPr>
            <w:proofErr w:type="spellStart"/>
            <w:r>
              <w:t>Antivirals</w:t>
            </w:r>
            <w:proofErr w:type="spellEnd"/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586E" w:rsidRPr="009B0711" w:rsidRDefault="00573902" w:rsidP="0049586E">
            <w:pPr>
              <w:pStyle w:val="NoSpacing"/>
              <w:cnfStyle w:val="000000000000"/>
              <w:rPr>
                <w:b/>
              </w:rPr>
            </w:pPr>
            <w:r w:rsidRPr="009B0711">
              <w:rPr>
                <w:b/>
              </w:rPr>
              <w:t>Medicines active against HIV</w:t>
            </w:r>
          </w:p>
          <w:p w:rsidR="00573902" w:rsidRDefault="002F4C6C" w:rsidP="0049586E">
            <w:pPr>
              <w:pStyle w:val="NoSpacing"/>
              <w:cnfStyle w:val="000000000000"/>
            </w:pPr>
            <w:r>
              <w:tab/>
              <w:t xml:space="preserve">e.g. </w:t>
            </w:r>
            <w:proofErr w:type="spellStart"/>
            <w:r>
              <w:t>zido</w:t>
            </w:r>
            <w:r w:rsidR="00573902">
              <w:t>vudine</w:t>
            </w:r>
            <w:proofErr w:type="spellEnd"/>
            <w:r w:rsidR="00573902">
              <w:t xml:space="preserve">, </w:t>
            </w:r>
            <w:proofErr w:type="spellStart"/>
            <w:r w:rsidR="00573902">
              <w:t>tenofovir</w:t>
            </w:r>
            <w:proofErr w:type="spellEnd"/>
            <w:r w:rsidR="00573902">
              <w:t xml:space="preserve">, </w:t>
            </w:r>
            <w:proofErr w:type="spellStart"/>
            <w:r w:rsidR="00573902">
              <w:t>emtricitabine</w:t>
            </w:r>
            <w:proofErr w:type="spellEnd"/>
          </w:p>
          <w:p w:rsidR="00573902" w:rsidRPr="009B0711" w:rsidRDefault="00573902" w:rsidP="0049586E">
            <w:pPr>
              <w:pStyle w:val="NoSpacing"/>
              <w:cnfStyle w:val="000000000000"/>
              <w:rPr>
                <w:b/>
              </w:rPr>
            </w:pPr>
            <w:r w:rsidRPr="009B0711">
              <w:rPr>
                <w:b/>
              </w:rPr>
              <w:t xml:space="preserve">Medicines active against </w:t>
            </w:r>
            <w:proofErr w:type="spellStart"/>
            <w:r w:rsidRPr="009B0711">
              <w:rPr>
                <w:b/>
              </w:rPr>
              <w:t>herpesviruses</w:t>
            </w:r>
            <w:proofErr w:type="spellEnd"/>
          </w:p>
          <w:p w:rsidR="00573902" w:rsidRDefault="00573902" w:rsidP="0049586E">
            <w:pPr>
              <w:pStyle w:val="NoSpacing"/>
              <w:cnfStyle w:val="000000000000"/>
            </w:pPr>
            <w:r>
              <w:tab/>
              <w:t xml:space="preserve">e.g. </w:t>
            </w:r>
            <w:proofErr w:type="spellStart"/>
            <w:r>
              <w:t>ganciclovir</w:t>
            </w:r>
            <w:proofErr w:type="spellEnd"/>
          </w:p>
          <w:p w:rsidR="00573902" w:rsidRPr="009B0711" w:rsidRDefault="00573902" w:rsidP="0049586E">
            <w:pPr>
              <w:pStyle w:val="NoSpacing"/>
              <w:cnfStyle w:val="000000000000"/>
              <w:rPr>
                <w:b/>
              </w:rPr>
            </w:pPr>
            <w:r w:rsidRPr="009B0711">
              <w:rPr>
                <w:b/>
              </w:rPr>
              <w:t>Medicines active against viral hepatitis</w:t>
            </w:r>
          </w:p>
          <w:p w:rsidR="00573902" w:rsidRDefault="00573902" w:rsidP="0049586E">
            <w:pPr>
              <w:pStyle w:val="NoSpacing"/>
              <w:cnfStyle w:val="000000000000"/>
            </w:pPr>
            <w:r>
              <w:tab/>
              <w:t xml:space="preserve">e.g. </w:t>
            </w:r>
            <w:proofErr w:type="spellStart"/>
            <w:r>
              <w:t>t</w:t>
            </w:r>
            <w:r w:rsidR="00511A8D">
              <w:t>enofovir</w:t>
            </w:r>
            <w:proofErr w:type="spellEnd"/>
            <w:r w:rsidR="00511A8D">
              <w:t xml:space="preserve">, </w:t>
            </w:r>
            <w:proofErr w:type="spellStart"/>
            <w:r w:rsidR="00511A8D">
              <w:t>entecavir</w:t>
            </w:r>
            <w:proofErr w:type="spellEnd"/>
          </w:p>
          <w:p w:rsidR="00573902" w:rsidRPr="009B0711" w:rsidRDefault="00573902" w:rsidP="0049586E">
            <w:pPr>
              <w:pStyle w:val="NoSpacing"/>
              <w:cnfStyle w:val="000000000000"/>
              <w:rPr>
                <w:b/>
              </w:rPr>
            </w:pPr>
            <w:r w:rsidRPr="009B0711">
              <w:rPr>
                <w:b/>
              </w:rPr>
              <w:t xml:space="preserve">Medicines active against respiratory </w:t>
            </w:r>
            <w:proofErr w:type="spellStart"/>
            <w:r w:rsidRPr="009B0711">
              <w:rPr>
                <w:b/>
              </w:rPr>
              <w:t>syncytial</w:t>
            </w:r>
            <w:proofErr w:type="spellEnd"/>
            <w:r w:rsidRPr="009B0711">
              <w:rPr>
                <w:b/>
              </w:rPr>
              <w:t xml:space="preserve"> virus</w:t>
            </w:r>
          </w:p>
          <w:p w:rsidR="00573902" w:rsidRDefault="00573902" w:rsidP="00511A8D">
            <w:pPr>
              <w:pStyle w:val="NoSpacing"/>
              <w:cnfStyle w:val="000000000000"/>
            </w:pPr>
            <w:r>
              <w:tab/>
              <w:t xml:space="preserve">e.g. </w:t>
            </w:r>
            <w:proofErr w:type="spellStart"/>
            <w:r>
              <w:t>ribavirin</w:t>
            </w:r>
            <w:proofErr w:type="spellEnd"/>
          </w:p>
        </w:tc>
      </w:tr>
      <w:tr w:rsidR="0049586E" w:rsidTr="009B0711">
        <w:trPr>
          <w:cnfStyle w:val="000000100000"/>
        </w:trPr>
        <w:tc>
          <w:tcPr>
            <w:cnfStyle w:val="00100000000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49586E" w:rsidRDefault="00E66A92" w:rsidP="00E66A92">
            <w:pPr>
              <w:pStyle w:val="NoSpacing"/>
            </w:pPr>
            <w:r>
              <w:t>Hormones and other endocrine agents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6428" w:rsidRPr="009B0711" w:rsidRDefault="00366428" w:rsidP="0049586E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>HRT products</w:t>
            </w:r>
          </w:p>
          <w:p w:rsidR="00366428" w:rsidRPr="009B0711" w:rsidRDefault="00366428" w:rsidP="0049586E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>Oral contraceptives</w:t>
            </w:r>
          </w:p>
          <w:p w:rsidR="006E28B5" w:rsidRPr="009B0711" w:rsidRDefault="008D209D" w:rsidP="0049586E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Oe</w:t>
            </w:r>
            <w:r w:rsidR="006E28B5" w:rsidRPr="009B0711">
              <w:rPr>
                <w:b/>
              </w:rPr>
              <w:t>strogens</w:t>
            </w:r>
          </w:p>
          <w:p w:rsidR="006E28B5" w:rsidRDefault="006E28B5" w:rsidP="006E28B5">
            <w:pPr>
              <w:pStyle w:val="NoSpacing"/>
              <w:cnfStyle w:val="000000100000"/>
            </w:pPr>
            <w:r>
              <w:tab/>
            </w:r>
            <w:proofErr w:type="spellStart"/>
            <w:r>
              <w:t>e.g.</w:t>
            </w:r>
            <w:r w:rsidR="00366428">
              <w:t>diethylstilbestrol</w:t>
            </w:r>
            <w:proofErr w:type="spellEnd"/>
          </w:p>
          <w:p w:rsidR="006E28B5" w:rsidRPr="009B0711" w:rsidRDefault="006E28B5" w:rsidP="006E28B5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>Progestogens</w:t>
            </w:r>
          </w:p>
          <w:p w:rsidR="006E28B5" w:rsidRDefault="00732A76" w:rsidP="006E28B5">
            <w:pPr>
              <w:pStyle w:val="NoSpacing"/>
              <w:cnfStyle w:val="000000100000"/>
            </w:pPr>
            <w:r>
              <w:tab/>
              <w:t xml:space="preserve">e.g. </w:t>
            </w:r>
            <w:proofErr w:type="spellStart"/>
            <w:r w:rsidR="00366428">
              <w:t>megestrol</w:t>
            </w:r>
            <w:proofErr w:type="spellEnd"/>
          </w:p>
          <w:p w:rsidR="00A41960" w:rsidRPr="009B0711" w:rsidRDefault="00A41960" w:rsidP="006E28B5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>Male sex hormones and antagonists</w:t>
            </w:r>
          </w:p>
          <w:p w:rsidR="00A41960" w:rsidRDefault="00A41960" w:rsidP="006E28B5">
            <w:pPr>
              <w:pStyle w:val="NoSpacing"/>
              <w:cnfStyle w:val="000000100000"/>
            </w:pPr>
            <w:r>
              <w:tab/>
              <w:t>e.g. testosterone, finasteride, cyproterone</w:t>
            </w:r>
          </w:p>
          <w:p w:rsidR="00A41960" w:rsidRPr="009B0711" w:rsidRDefault="00A41960" w:rsidP="006E28B5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 xml:space="preserve">Drugs affecting </w:t>
            </w:r>
            <w:proofErr w:type="spellStart"/>
            <w:r w:rsidRPr="009B0711">
              <w:rPr>
                <w:b/>
              </w:rPr>
              <w:t>gonadotrophins</w:t>
            </w:r>
            <w:proofErr w:type="spellEnd"/>
          </w:p>
          <w:p w:rsidR="00A41960" w:rsidRDefault="00A41960" w:rsidP="006E28B5">
            <w:pPr>
              <w:pStyle w:val="NoSpacing"/>
              <w:cnfStyle w:val="000000100000"/>
            </w:pPr>
            <w:r>
              <w:tab/>
              <w:t>e.g.</w:t>
            </w:r>
            <w:r w:rsidR="0070544E">
              <w:t xml:space="preserve"> </w:t>
            </w:r>
            <w:proofErr w:type="spellStart"/>
            <w:r w:rsidR="0070544E">
              <w:t>danazol</w:t>
            </w:r>
            <w:proofErr w:type="spellEnd"/>
            <w:r w:rsidR="0070544E">
              <w:t xml:space="preserve">, </w:t>
            </w:r>
            <w:r>
              <w:t xml:space="preserve"> triptorelin</w:t>
            </w:r>
          </w:p>
          <w:p w:rsidR="00A41960" w:rsidRPr="009B0711" w:rsidRDefault="00E66A92" w:rsidP="006E28B5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>Hypothalamic and pituitary hormones and antagonists</w:t>
            </w:r>
          </w:p>
          <w:p w:rsidR="00E66A92" w:rsidRDefault="00E66A92" w:rsidP="006E28B5">
            <w:pPr>
              <w:pStyle w:val="NoSpacing"/>
              <w:cnfStyle w:val="000000100000"/>
            </w:pPr>
            <w:r>
              <w:tab/>
              <w:t xml:space="preserve">e.g. </w:t>
            </w:r>
            <w:proofErr w:type="spellStart"/>
            <w:r>
              <w:t>gonadotrophin</w:t>
            </w:r>
            <w:proofErr w:type="spellEnd"/>
            <w:r>
              <w:t xml:space="preserve">, </w:t>
            </w:r>
            <w:proofErr w:type="spellStart"/>
            <w:r w:rsidR="00511A8D">
              <w:t>clomifene</w:t>
            </w:r>
            <w:proofErr w:type="spellEnd"/>
          </w:p>
          <w:p w:rsidR="00E66A92" w:rsidRPr="009B0711" w:rsidRDefault="0070544E" w:rsidP="006E28B5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 xml:space="preserve">Prostaglandins and </w:t>
            </w:r>
            <w:proofErr w:type="spellStart"/>
            <w:r w:rsidRPr="009B0711">
              <w:rPr>
                <w:b/>
              </w:rPr>
              <w:t>oxytocics</w:t>
            </w:r>
            <w:proofErr w:type="spellEnd"/>
          </w:p>
          <w:p w:rsidR="0070544E" w:rsidRDefault="0070544E" w:rsidP="006E28B5">
            <w:pPr>
              <w:pStyle w:val="NoSpacing"/>
              <w:cnfStyle w:val="000000100000"/>
            </w:pPr>
            <w:r>
              <w:tab/>
              <w:t xml:space="preserve">e.g. </w:t>
            </w:r>
            <w:proofErr w:type="spellStart"/>
            <w:r>
              <w:t>dinoprostone</w:t>
            </w:r>
            <w:proofErr w:type="spellEnd"/>
            <w:r>
              <w:t xml:space="preserve">, </w:t>
            </w:r>
            <w:proofErr w:type="spellStart"/>
            <w:r>
              <w:t>mifepristone</w:t>
            </w:r>
            <w:proofErr w:type="spellEnd"/>
            <w:r>
              <w:t xml:space="preserve">, </w:t>
            </w:r>
            <w:proofErr w:type="spellStart"/>
            <w:r>
              <w:t>misoprostol</w:t>
            </w:r>
            <w:proofErr w:type="spellEnd"/>
            <w:r>
              <w:t xml:space="preserve">, </w:t>
            </w:r>
            <w:proofErr w:type="spellStart"/>
            <w:r>
              <w:t>oxytocin</w:t>
            </w:r>
            <w:proofErr w:type="spellEnd"/>
            <w:r>
              <w:t xml:space="preserve">, </w:t>
            </w:r>
            <w:proofErr w:type="spellStart"/>
            <w:r>
              <w:t>ergometrine</w:t>
            </w:r>
            <w:proofErr w:type="spellEnd"/>
          </w:p>
          <w:p w:rsidR="00366428" w:rsidRPr="009B0711" w:rsidRDefault="00366428" w:rsidP="006E28B5">
            <w:pPr>
              <w:pStyle w:val="NoSpacing"/>
              <w:cnfStyle w:val="000000100000"/>
              <w:rPr>
                <w:b/>
              </w:rPr>
            </w:pPr>
            <w:r w:rsidRPr="009B0711">
              <w:rPr>
                <w:b/>
              </w:rPr>
              <w:t>Hormone antagonists</w:t>
            </w:r>
          </w:p>
          <w:p w:rsidR="00366428" w:rsidRDefault="00366428" w:rsidP="00511A8D">
            <w:pPr>
              <w:pStyle w:val="NoSpacing"/>
              <w:cnfStyle w:val="000000100000"/>
            </w:pPr>
            <w:r>
              <w:tab/>
              <w:t xml:space="preserve">e.g. anastrozole, </w:t>
            </w:r>
            <w:r w:rsidR="009C1A4D">
              <w:t xml:space="preserve">letrozole, tamoxifen,  </w:t>
            </w:r>
            <w:proofErr w:type="spellStart"/>
            <w:r w:rsidR="009C1A4D">
              <w:t>exemestane</w:t>
            </w:r>
            <w:proofErr w:type="spellEnd"/>
          </w:p>
        </w:tc>
      </w:tr>
      <w:tr w:rsidR="00295A5B" w:rsidTr="009B0711">
        <w:tc>
          <w:tcPr>
            <w:cnfStyle w:val="00100000000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95A5B" w:rsidRDefault="00295A5B" w:rsidP="00732A76">
            <w:pPr>
              <w:pStyle w:val="NoSpacing"/>
            </w:pPr>
            <w:r>
              <w:t>Immunosuppressants</w:t>
            </w:r>
            <w:r w:rsidR="0070544E">
              <w:t xml:space="preserve"> and </w:t>
            </w:r>
            <w:proofErr w:type="spellStart"/>
            <w:r w:rsidR="0070544E">
              <w:t>immunomodulators</w:t>
            </w:r>
            <w:proofErr w:type="spellEnd"/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5A5B" w:rsidRPr="009B0711" w:rsidRDefault="0070544E" w:rsidP="00732A76">
            <w:pPr>
              <w:pStyle w:val="NoSpacing"/>
              <w:cnfStyle w:val="000000000000"/>
              <w:rPr>
                <w:b/>
              </w:rPr>
            </w:pPr>
            <w:proofErr w:type="spellStart"/>
            <w:r w:rsidRPr="009B0711">
              <w:rPr>
                <w:b/>
              </w:rPr>
              <w:t>Antiproliferative</w:t>
            </w:r>
            <w:proofErr w:type="spellEnd"/>
            <w:r w:rsidRPr="009B0711">
              <w:rPr>
                <w:b/>
              </w:rPr>
              <w:t xml:space="preserve"> immunosuppressants</w:t>
            </w:r>
          </w:p>
          <w:p w:rsidR="0070544E" w:rsidRDefault="0070544E" w:rsidP="00732A76">
            <w:pPr>
              <w:pStyle w:val="NoSpacing"/>
              <w:cnfStyle w:val="000000000000"/>
            </w:pPr>
            <w:r>
              <w:tab/>
              <w:t>e.g. azathioprine, mercaptopurine, mycophenolate</w:t>
            </w:r>
          </w:p>
          <w:p w:rsidR="00E87240" w:rsidRDefault="00E87240" w:rsidP="0070544E">
            <w:pPr>
              <w:pStyle w:val="NoSpacing"/>
              <w:cnfStyle w:val="000000000000"/>
            </w:pPr>
            <w:r>
              <w:t>Colchicine</w:t>
            </w:r>
          </w:p>
          <w:p w:rsidR="00E87240" w:rsidRDefault="00E87240" w:rsidP="0070544E">
            <w:pPr>
              <w:pStyle w:val="NoSpacing"/>
              <w:cnfStyle w:val="000000000000"/>
            </w:pPr>
            <w:r>
              <w:t>Leflunomide</w:t>
            </w:r>
          </w:p>
          <w:p w:rsidR="00E87240" w:rsidRDefault="00E87240" w:rsidP="0070544E">
            <w:pPr>
              <w:pStyle w:val="NoSpacing"/>
              <w:cnfStyle w:val="000000000000"/>
            </w:pPr>
            <w:proofErr w:type="spellStart"/>
            <w:r>
              <w:t>Infliximab</w:t>
            </w:r>
            <w:proofErr w:type="spellEnd"/>
          </w:p>
          <w:p w:rsidR="0070544E" w:rsidRDefault="0070544E" w:rsidP="0070544E">
            <w:pPr>
              <w:pStyle w:val="NoSpacing"/>
              <w:cnfStyle w:val="000000000000"/>
            </w:pPr>
            <w:r>
              <w:t>Rituximab</w:t>
            </w:r>
          </w:p>
          <w:p w:rsidR="0070544E" w:rsidRPr="009B0711" w:rsidRDefault="0070544E" w:rsidP="00732A76">
            <w:pPr>
              <w:pStyle w:val="NoSpacing"/>
              <w:cnfStyle w:val="000000000000"/>
              <w:rPr>
                <w:b/>
              </w:rPr>
            </w:pPr>
            <w:r w:rsidRPr="009B0711">
              <w:rPr>
                <w:b/>
              </w:rPr>
              <w:t>Other immunosuppressants</w:t>
            </w:r>
          </w:p>
          <w:p w:rsidR="0070544E" w:rsidRDefault="0070544E" w:rsidP="00732A76">
            <w:pPr>
              <w:pStyle w:val="NoSpacing"/>
              <w:cnfStyle w:val="000000000000"/>
            </w:pPr>
            <w:r>
              <w:tab/>
              <w:t>e.g. ciclosporin, tacrolimus</w:t>
            </w:r>
          </w:p>
          <w:p w:rsidR="0070544E" w:rsidRPr="009B0711" w:rsidRDefault="0070544E" w:rsidP="0070544E">
            <w:pPr>
              <w:pStyle w:val="NoSpacing"/>
              <w:cnfStyle w:val="000000000000"/>
              <w:rPr>
                <w:b/>
              </w:rPr>
            </w:pPr>
            <w:r w:rsidRPr="009B0711">
              <w:rPr>
                <w:b/>
              </w:rPr>
              <w:t xml:space="preserve">Other </w:t>
            </w:r>
            <w:proofErr w:type="spellStart"/>
            <w:r w:rsidRPr="009B0711">
              <w:rPr>
                <w:b/>
              </w:rPr>
              <w:t>immunomodulating</w:t>
            </w:r>
            <w:proofErr w:type="spellEnd"/>
            <w:r w:rsidRPr="009B0711">
              <w:rPr>
                <w:b/>
              </w:rPr>
              <w:t xml:space="preserve"> drugs</w:t>
            </w:r>
          </w:p>
          <w:p w:rsidR="0070544E" w:rsidRDefault="0070544E" w:rsidP="00511A8D">
            <w:pPr>
              <w:pStyle w:val="NoSpacing"/>
              <w:cnfStyle w:val="000000000000"/>
            </w:pPr>
            <w:r>
              <w:tab/>
              <w:t xml:space="preserve">e.g. </w:t>
            </w:r>
            <w:proofErr w:type="spellStart"/>
            <w:r>
              <w:t>fingol</w:t>
            </w:r>
            <w:r w:rsidR="00511A8D">
              <w:t>imod</w:t>
            </w:r>
            <w:proofErr w:type="spellEnd"/>
            <w:r w:rsidR="00511A8D">
              <w:t xml:space="preserve">, </w:t>
            </w:r>
            <w:proofErr w:type="spellStart"/>
            <w:r w:rsidR="00511A8D">
              <w:t>interferons</w:t>
            </w:r>
            <w:proofErr w:type="spellEnd"/>
            <w:r w:rsidR="00511A8D">
              <w:t>, thalidomide</w:t>
            </w:r>
            <w:r>
              <w:t>, BCG vaccine</w:t>
            </w:r>
          </w:p>
        </w:tc>
      </w:tr>
      <w:tr w:rsidR="0049586E" w:rsidTr="009B0711">
        <w:trPr>
          <w:cnfStyle w:val="000000100000"/>
        </w:trPr>
        <w:tc>
          <w:tcPr>
            <w:cnfStyle w:val="001000000000"/>
            <w:tcW w:w="2142" w:type="dxa"/>
            <w:tcBorders>
              <w:top w:val="single" w:sz="4" w:space="0" w:color="auto"/>
            </w:tcBorders>
          </w:tcPr>
          <w:p w:rsidR="0049586E" w:rsidRDefault="009C1A4D" w:rsidP="0049586E">
            <w:pPr>
              <w:pStyle w:val="NoSpacing"/>
            </w:pPr>
            <w:r>
              <w:t>Dermatological preparations</w:t>
            </w:r>
          </w:p>
        </w:tc>
        <w:tc>
          <w:tcPr>
            <w:tcW w:w="71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9586E" w:rsidRDefault="00642000" w:rsidP="0049586E">
            <w:pPr>
              <w:pStyle w:val="NoSpacing"/>
              <w:cnfStyle w:val="000000100000"/>
            </w:pPr>
            <w:r>
              <w:t>Coal tar</w:t>
            </w:r>
          </w:p>
          <w:p w:rsidR="00E87240" w:rsidRDefault="00E87240" w:rsidP="0049586E">
            <w:pPr>
              <w:pStyle w:val="NoSpacing"/>
              <w:cnfStyle w:val="000000100000"/>
            </w:pPr>
            <w:proofErr w:type="spellStart"/>
            <w:r>
              <w:t>Dithranol</w:t>
            </w:r>
            <w:proofErr w:type="spellEnd"/>
          </w:p>
        </w:tc>
      </w:tr>
    </w:tbl>
    <w:p w:rsidR="0049586E" w:rsidRDefault="0049586E" w:rsidP="0049586E">
      <w:pPr>
        <w:pStyle w:val="NoSpacing"/>
      </w:pPr>
    </w:p>
    <w:p w:rsidR="0049586E" w:rsidRDefault="0049586E" w:rsidP="0049586E">
      <w:pPr>
        <w:pStyle w:val="NoSpacing"/>
      </w:pPr>
    </w:p>
    <w:p w:rsidR="0049586E" w:rsidRDefault="0049586E" w:rsidP="0049586E">
      <w:pPr>
        <w:pStyle w:val="NoSpacing"/>
      </w:pPr>
    </w:p>
    <w:p w:rsidR="0049586E" w:rsidRDefault="0049586E" w:rsidP="0049586E">
      <w:pPr>
        <w:pStyle w:val="NoSpacing"/>
      </w:pPr>
    </w:p>
    <w:sectPr w:rsidR="0049586E" w:rsidSect="00C369B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AF" w:rsidRDefault="00ED1AAF" w:rsidP="005F3D8B">
      <w:pPr>
        <w:spacing w:after="0" w:line="240" w:lineRule="auto"/>
      </w:pPr>
      <w:r>
        <w:separator/>
      </w:r>
    </w:p>
  </w:endnote>
  <w:endnote w:type="continuationSeparator" w:id="0">
    <w:p w:rsidR="00ED1AAF" w:rsidRDefault="00ED1AAF" w:rsidP="005F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AF" w:rsidRDefault="00ED1AAF" w:rsidP="005F3D8B">
    <w:pPr>
      <w:pStyle w:val="Footer"/>
      <w:jc w:val="both"/>
    </w:pPr>
    <w:r>
      <w:t>Prepared by Craig Rore, Grampian Medicines Information Centre, Aberdeen. January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AF" w:rsidRDefault="00ED1AAF" w:rsidP="005F3D8B">
      <w:pPr>
        <w:spacing w:after="0" w:line="240" w:lineRule="auto"/>
      </w:pPr>
      <w:r>
        <w:separator/>
      </w:r>
    </w:p>
  </w:footnote>
  <w:footnote w:type="continuationSeparator" w:id="0">
    <w:p w:rsidR="00ED1AAF" w:rsidRDefault="00ED1AAF" w:rsidP="005F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AF" w:rsidRPr="009B0711" w:rsidRDefault="008D209D" w:rsidP="009B0711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Cytostatic Agents to be D</w:t>
    </w:r>
    <w:r w:rsidR="00ED1AAF" w:rsidRPr="009B0711">
      <w:rPr>
        <w:b/>
        <w:sz w:val="36"/>
        <w:szCs w:val="36"/>
      </w:rPr>
      <w:t>isposed of in the Purple Stream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6E"/>
    <w:rsid w:val="00295A5B"/>
    <w:rsid w:val="002C5E51"/>
    <w:rsid w:val="002F4C6C"/>
    <w:rsid w:val="00366428"/>
    <w:rsid w:val="0049586E"/>
    <w:rsid w:val="004A3482"/>
    <w:rsid w:val="004E4A47"/>
    <w:rsid w:val="00511A8D"/>
    <w:rsid w:val="00573902"/>
    <w:rsid w:val="005F3D8B"/>
    <w:rsid w:val="00642000"/>
    <w:rsid w:val="006E28B5"/>
    <w:rsid w:val="007011D2"/>
    <w:rsid w:val="0070544E"/>
    <w:rsid w:val="00711B35"/>
    <w:rsid w:val="00732A76"/>
    <w:rsid w:val="00757740"/>
    <w:rsid w:val="0084299F"/>
    <w:rsid w:val="008A6736"/>
    <w:rsid w:val="008D209D"/>
    <w:rsid w:val="009B0711"/>
    <w:rsid w:val="009B59DB"/>
    <w:rsid w:val="009C1A4D"/>
    <w:rsid w:val="00A41960"/>
    <w:rsid w:val="00A767CA"/>
    <w:rsid w:val="00B6071A"/>
    <w:rsid w:val="00B94CBA"/>
    <w:rsid w:val="00C369BE"/>
    <w:rsid w:val="00C913E6"/>
    <w:rsid w:val="00E02E89"/>
    <w:rsid w:val="00E66A92"/>
    <w:rsid w:val="00E87240"/>
    <w:rsid w:val="00EB285E"/>
    <w:rsid w:val="00EB7CCE"/>
    <w:rsid w:val="00ED1AAF"/>
    <w:rsid w:val="00F2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86E"/>
    <w:pPr>
      <w:spacing w:after="0" w:line="240" w:lineRule="auto"/>
    </w:pPr>
  </w:style>
  <w:style w:type="table" w:styleId="TableGrid">
    <w:name w:val="Table Grid"/>
    <w:basedOn w:val="TableNormal"/>
    <w:uiPriority w:val="59"/>
    <w:rsid w:val="0049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D8B"/>
  </w:style>
  <w:style w:type="paragraph" w:styleId="Footer">
    <w:name w:val="footer"/>
    <w:basedOn w:val="Normal"/>
    <w:link w:val="FooterChar"/>
    <w:uiPriority w:val="99"/>
    <w:semiHidden/>
    <w:unhideWhenUsed/>
    <w:rsid w:val="005F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D8B"/>
  </w:style>
  <w:style w:type="table" w:styleId="LightShading-Accent2">
    <w:name w:val="Light Shading Accent 2"/>
    <w:basedOn w:val="TableNormal"/>
    <w:uiPriority w:val="60"/>
    <w:rsid w:val="009B071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4">
    <w:name w:val="Medium Shading 2 Accent 4"/>
    <w:basedOn w:val="TableNormal"/>
    <w:uiPriority w:val="64"/>
    <w:rsid w:val="009B07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B07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B07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Rore</dc:creator>
  <cp:lastModifiedBy>Rore</cp:lastModifiedBy>
  <cp:revision>2</cp:revision>
  <cp:lastPrinted>2020-01-31T11:59:00Z</cp:lastPrinted>
  <dcterms:created xsi:type="dcterms:W3CDTF">2020-01-31T14:35:00Z</dcterms:created>
  <dcterms:modified xsi:type="dcterms:W3CDTF">2020-01-31T14:35:00Z</dcterms:modified>
</cp:coreProperties>
</file>