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C46D" w14:textId="77777777" w:rsidR="0019280B" w:rsidRPr="0019280B" w:rsidRDefault="0019280B" w:rsidP="0019280B">
      <w:pPr>
        <w:shd w:val="clear" w:color="auto" w:fill="FFFFFF"/>
        <w:spacing w:after="0" w:line="240" w:lineRule="auto"/>
        <w:textAlignment w:val="baseline"/>
        <w:rPr>
          <w:rFonts w:ascii="Calibri" w:eastAsia="Times New Roman" w:hAnsi="Calibri" w:cs="Calibri"/>
          <w:color w:val="000000"/>
          <w:sz w:val="24"/>
          <w:szCs w:val="24"/>
          <w:lang w:eastAsia="en-GB"/>
        </w:rPr>
      </w:pPr>
      <w:r w:rsidRPr="0019280B">
        <w:rPr>
          <w:rFonts w:ascii="Calibri" w:eastAsia="Times New Roman" w:hAnsi="Calibri" w:cs="Calibri"/>
          <w:color w:val="000000"/>
          <w:sz w:val="24"/>
          <w:szCs w:val="24"/>
          <w:bdr w:val="none" w:sz="0" w:space="0" w:color="auto" w:frame="1"/>
          <w:lang w:eastAsia="en-GB"/>
        </w:rPr>
        <w:t> </w:t>
      </w:r>
    </w:p>
    <w:p w14:paraId="4A36464A" w14:textId="77777777" w:rsidR="0019280B" w:rsidRPr="0019280B" w:rsidRDefault="0019280B" w:rsidP="0019280B">
      <w:pPr>
        <w:shd w:val="clear" w:color="auto" w:fill="FFFFFF"/>
        <w:spacing w:after="0" w:line="240" w:lineRule="auto"/>
        <w:textAlignment w:val="baseline"/>
        <w:rPr>
          <w:rFonts w:ascii="Calibri" w:eastAsia="Times New Roman" w:hAnsi="Calibri" w:cs="Calibri"/>
          <w:color w:val="000000"/>
          <w:sz w:val="24"/>
          <w:szCs w:val="24"/>
          <w:lang w:eastAsia="en-GB"/>
        </w:rPr>
      </w:pPr>
      <w:r w:rsidRPr="0019280B">
        <w:rPr>
          <w:rFonts w:ascii="inherit" w:eastAsia="Times New Roman" w:hAnsi="inherit" w:cs="Calibri"/>
          <w:color w:val="000000"/>
          <w:sz w:val="24"/>
          <w:szCs w:val="24"/>
          <w:bdr w:val="none" w:sz="0" w:space="0" w:color="auto" w:frame="1"/>
          <w:lang w:eastAsia="en-GB"/>
        </w:rPr>
        <w:t> </w:t>
      </w:r>
    </w:p>
    <w:p w14:paraId="1F3363AB" w14:textId="6D537FEA"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noProof/>
        </w:rPr>
        <w:drawing>
          <wp:inline distT="0" distB="0" distL="0" distR="0" wp14:anchorId="635B4B34" wp14:editId="4657E3DF">
            <wp:extent cx="2317750" cy="1271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3036" cy="1273923"/>
                    </a:xfrm>
                    <a:prstGeom prst="rect">
                      <a:avLst/>
                    </a:prstGeom>
                    <a:noFill/>
                    <a:ln>
                      <a:noFill/>
                    </a:ln>
                  </pic:spPr>
                </pic:pic>
              </a:graphicData>
            </a:graphic>
          </wp:inline>
        </w:drawing>
      </w:r>
      <w:r w:rsidRPr="0019280B">
        <w:rPr>
          <w:rFonts w:ascii="inherit" w:eastAsia="Times New Roman" w:hAnsi="inherit" w:cs="Calibri"/>
          <w:color w:val="000000"/>
          <w:sz w:val="24"/>
          <w:szCs w:val="24"/>
          <w:bdr w:val="none" w:sz="0" w:space="0" w:color="auto" w:frame="1"/>
          <w:lang w:eastAsia="en-GB"/>
        </w:rPr>
        <w:t> </w:t>
      </w:r>
    </w:p>
    <w:p w14:paraId="7946CDE9" w14:textId="34CDCF1C"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rFonts w:ascii="inherit" w:eastAsia="Times New Roman" w:hAnsi="inherit" w:cs="Calibri"/>
          <w:color w:val="000000"/>
          <w:sz w:val="24"/>
          <w:szCs w:val="24"/>
          <w:bdr w:val="none" w:sz="0" w:space="0" w:color="auto" w:frame="1"/>
          <w:lang w:eastAsia="en-GB"/>
        </w:rPr>
        <w:br/>
      </w:r>
      <w:r w:rsidRPr="0019280B">
        <w:rPr>
          <w:rFonts w:ascii="Calibri" w:eastAsia="Times New Roman" w:hAnsi="Calibri" w:cs="Calibri"/>
          <w:b/>
          <w:bCs/>
          <w:color w:val="212121"/>
          <w:sz w:val="24"/>
          <w:szCs w:val="24"/>
          <w:bdr w:val="none" w:sz="0" w:space="0" w:color="auto" w:frame="1"/>
          <w:lang w:eastAsia="en-GB"/>
        </w:rPr>
        <w:t>COMMUNITY PHARMACY DEVELOPMENT TEAM WEEKLY UPDATE </w:t>
      </w:r>
    </w:p>
    <w:p w14:paraId="2C564A99" w14:textId="77777777" w:rsidR="0019280B" w:rsidRPr="0019280B" w:rsidRDefault="0019280B" w:rsidP="0019280B">
      <w:pPr>
        <w:shd w:val="clear" w:color="auto" w:fill="FFFFFF"/>
        <w:spacing w:after="0" w:line="253" w:lineRule="atLeast"/>
        <w:jc w:val="center"/>
        <w:textAlignment w:val="baseline"/>
        <w:rPr>
          <w:rFonts w:ascii="Calibri" w:eastAsia="Times New Roman" w:hAnsi="Calibri" w:cs="Calibri"/>
          <w:color w:val="000000"/>
          <w:lang w:eastAsia="en-GB"/>
        </w:rPr>
      </w:pPr>
      <w:r w:rsidRPr="0019280B">
        <w:rPr>
          <w:rFonts w:ascii="Calibri" w:eastAsia="Times New Roman" w:hAnsi="Calibri" w:cs="Calibri"/>
          <w:b/>
          <w:bCs/>
          <w:color w:val="212121"/>
          <w:sz w:val="24"/>
          <w:szCs w:val="24"/>
          <w:bdr w:val="none" w:sz="0" w:space="0" w:color="auto" w:frame="1"/>
          <w:lang w:eastAsia="en-GB"/>
        </w:rPr>
        <w:t>Wed 9</w:t>
      </w:r>
      <w:r w:rsidRPr="0019280B">
        <w:rPr>
          <w:rFonts w:ascii="Calibri" w:eastAsia="Times New Roman" w:hAnsi="Calibri" w:cs="Calibri"/>
          <w:b/>
          <w:bCs/>
          <w:color w:val="212121"/>
          <w:sz w:val="24"/>
          <w:szCs w:val="24"/>
          <w:bdr w:val="none" w:sz="0" w:space="0" w:color="auto" w:frame="1"/>
          <w:vertAlign w:val="superscript"/>
          <w:lang w:eastAsia="en-GB"/>
        </w:rPr>
        <w:t>th</w:t>
      </w:r>
      <w:r w:rsidRPr="0019280B">
        <w:rPr>
          <w:rFonts w:ascii="Calibri" w:eastAsia="Times New Roman" w:hAnsi="Calibri" w:cs="Calibri"/>
          <w:b/>
          <w:bCs/>
          <w:color w:val="212121"/>
          <w:sz w:val="24"/>
          <w:szCs w:val="24"/>
          <w:bdr w:val="none" w:sz="0" w:space="0" w:color="auto" w:frame="1"/>
          <w:lang w:eastAsia="en-GB"/>
        </w:rPr>
        <w:t> August 2023 </w:t>
      </w:r>
    </w:p>
    <w:p w14:paraId="0578993E" w14:textId="77777777"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rFonts w:ascii="Calibri" w:eastAsia="Times New Roman" w:hAnsi="Calibri" w:cs="Calibri"/>
          <w:color w:val="212121"/>
          <w:sz w:val="24"/>
          <w:szCs w:val="24"/>
          <w:bdr w:val="none" w:sz="0" w:space="0" w:color="auto" w:frame="1"/>
          <w:lang w:eastAsia="en-GB"/>
        </w:rPr>
        <w:t>We hope that you will take some time to read the information below and share with the whole team. </w:t>
      </w:r>
      <w:r w:rsidRPr="0019280B">
        <w:rPr>
          <w:rFonts w:ascii="Source Sans Pro" w:eastAsia="Times New Roman" w:hAnsi="Source Sans Pro" w:cs="Calibri"/>
          <w:color w:val="212121"/>
          <w:sz w:val="24"/>
          <w:szCs w:val="24"/>
          <w:bdr w:val="none" w:sz="0" w:space="0" w:color="auto" w:frame="1"/>
          <w:lang w:eastAsia="en-GB"/>
        </w:rPr>
        <w:t> </w:t>
      </w:r>
    </w:p>
    <w:p w14:paraId="7E9B81D6" w14:textId="77777777"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rFonts w:ascii="Lucida Handwriting" w:eastAsia="Times New Roman" w:hAnsi="Lucida Handwriting" w:cs="Calibri"/>
          <w:b/>
          <w:bCs/>
          <w:i/>
          <w:iCs/>
          <w:color w:val="212121"/>
          <w:sz w:val="24"/>
          <w:szCs w:val="24"/>
          <w:bdr w:val="none" w:sz="0" w:space="0" w:color="auto" w:frame="1"/>
          <w:lang w:eastAsia="en-GB"/>
        </w:rPr>
        <w:t>Dawn and Fiona</w:t>
      </w:r>
      <w:r w:rsidRPr="0019280B">
        <w:rPr>
          <w:rFonts w:ascii="Source Sans Pro" w:eastAsia="Times New Roman" w:hAnsi="Source Sans Pro" w:cs="Calibri"/>
          <w:b/>
          <w:bCs/>
          <w:color w:val="212121"/>
          <w:sz w:val="24"/>
          <w:szCs w:val="24"/>
          <w:bdr w:val="none" w:sz="0" w:space="0" w:color="auto" w:frame="1"/>
          <w:lang w:eastAsia="en-GB"/>
        </w:rPr>
        <w:t> </w:t>
      </w:r>
      <w:r w:rsidRPr="0019280B">
        <w:rPr>
          <w:rFonts w:ascii="Source Sans Pro" w:eastAsia="Times New Roman" w:hAnsi="Source Sans Pro" w:cs="Calibri"/>
          <w:color w:val="212121"/>
          <w:sz w:val="24"/>
          <w:szCs w:val="24"/>
          <w:bdr w:val="none" w:sz="0" w:space="0" w:color="auto" w:frame="1"/>
          <w:lang w:eastAsia="en-GB"/>
        </w:rPr>
        <w:t> </w:t>
      </w:r>
      <w:r w:rsidRPr="0019280B">
        <w:rPr>
          <w:rFonts w:ascii="Source Sans Pro" w:eastAsia="Times New Roman" w:hAnsi="Source Sans Pro" w:cs="Calibri"/>
          <w:color w:val="212121"/>
          <w:bdr w:val="none" w:sz="0" w:space="0" w:color="auto" w:frame="1"/>
          <w:lang w:eastAsia="en-GB"/>
        </w:rPr>
        <w:br/>
      </w:r>
      <w:hyperlink r:id="rId6" w:tooltip="Original URL: https://www.communitypharmacy.scot.nhs.uk/nhs-boards/nhs-lothian/. Click or tap if you trust this link." w:history="1">
        <w:r w:rsidRPr="0019280B">
          <w:rPr>
            <w:rFonts w:ascii="Calibri" w:eastAsia="Times New Roman" w:hAnsi="Calibri" w:cs="Calibri"/>
            <w:color w:val="0000FF"/>
            <w:u w:val="single"/>
            <w:bdr w:val="none" w:sz="0" w:space="0" w:color="auto" w:frame="1"/>
            <w:lang w:eastAsia="en-GB"/>
          </w:rPr>
          <w:t>https://www.communitypharmacy.scot.nhs.uk/nhs-boards/nhs-lothian/</w:t>
        </w:r>
      </w:hyperlink>
      <w:r w:rsidRPr="0019280B">
        <w:rPr>
          <w:rFonts w:ascii="Calibri" w:eastAsia="Times New Roman" w:hAnsi="Calibri" w:cs="Calibri"/>
          <w:color w:val="212121"/>
          <w:bdr w:val="none" w:sz="0" w:space="0" w:color="auto" w:frame="1"/>
          <w:lang w:eastAsia="en-GB"/>
        </w:rPr>
        <w:t>  </w:t>
      </w:r>
    </w:p>
    <w:p w14:paraId="21853EFD" w14:textId="48B65F6F"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rFonts w:ascii="Calibri" w:eastAsia="Times New Roman" w:hAnsi="Calibri" w:cs="Calibri"/>
          <w:color w:val="212121"/>
          <w:bdr w:val="none" w:sz="0" w:space="0" w:color="auto" w:frame="1"/>
          <w:lang w:eastAsia="en-GB"/>
        </w:rPr>
        <w:br/>
      </w:r>
      <w:r w:rsidRPr="0019280B">
        <w:rPr>
          <w:rFonts w:ascii="Source Sans Pro" w:eastAsia="Times New Roman" w:hAnsi="Source Sans Pro" w:cs="Calibri"/>
          <w:color w:val="212121"/>
          <w:bdr w:val="none" w:sz="0" w:space="0" w:color="auto" w:frame="1"/>
          <w:lang w:eastAsia="en-GB"/>
        </w:rPr>
        <w:br/>
      </w:r>
    </w:p>
    <w:p w14:paraId="0FCE3C0A" w14:textId="77777777" w:rsidR="0019280B" w:rsidRPr="0019280B" w:rsidRDefault="0019280B" w:rsidP="0019280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19280B">
        <w:rPr>
          <w:rFonts w:eastAsia="Times New Roman" w:cstheme="minorHAnsi"/>
          <w:b/>
          <w:bCs/>
          <w:color w:val="000000"/>
          <w:u w:val="single"/>
          <w:bdr w:val="none" w:sz="0" w:space="0" w:color="auto" w:frame="1"/>
          <w:lang w:eastAsia="en-GB"/>
        </w:rPr>
        <w:t>Signing National &amp; Local PGDs-</w:t>
      </w:r>
      <w:r w:rsidRPr="0019280B">
        <w:rPr>
          <w:rFonts w:eastAsia="Times New Roman" w:cstheme="minorHAnsi"/>
          <w:color w:val="000000"/>
          <w:bdr w:val="none" w:sz="0" w:space="0" w:color="auto" w:frame="1"/>
          <w:lang w:eastAsia="en-GB"/>
        </w:rPr>
        <w:t> As outlined in the recent email from PCCT, after a review of NHS Lothians process, it has been agreed that you are no longer required to return a signed copy of the national or local PGDs to the Primary Care Contracts Team. You must however retain a signed copy within your branch for legal and professional purposes.</w:t>
      </w:r>
    </w:p>
    <w:p w14:paraId="75E21416" w14:textId="53B7813A" w:rsidR="0019280B" w:rsidRPr="0019280B" w:rsidRDefault="0019280B" w:rsidP="0019280B">
      <w:pPr>
        <w:shd w:val="clear" w:color="auto" w:fill="FFFFFF"/>
        <w:spacing w:after="0" w:line="240" w:lineRule="auto"/>
        <w:ind w:firstLine="50"/>
        <w:textAlignment w:val="baseline"/>
        <w:rPr>
          <w:rFonts w:eastAsia="Times New Roman" w:cstheme="minorHAnsi"/>
          <w:color w:val="000000"/>
          <w:lang w:eastAsia="en-GB"/>
        </w:rPr>
      </w:pPr>
    </w:p>
    <w:p w14:paraId="7D2982A1" w14:textId="77777777" w:rsidR="0019280B" w:rsidRPr="0019280B" w:rsidRDefault="0019280B" w:rsidP="0019280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19280B">
        <w:rPr>
          <w:rFonts w:eastAsia="Times New Roman" w:cstheme="minorHAnsi"/>
          <w:b/>
          <w:bCs/>
          <w:color w:val="000000"/>
          <w:u w:val="single"/>
          <w:bdr w:val="none" w:sz="0" w:space="0" w:color="auto" w:frame="1"/>
          <w:lang w:eastAsia="en-GB"/>
        </w:rPr>
        <w:t xml:space="preserve">New </w:t>
      </w:r>
      <w:proofErr w:type="spellStart"/>
      <w:r w:rsidRPr="0019280B">
        <w:rPr>
          <w:rFonts w:eastAsia="Times New Roman" w:cstheme="minorHAnsi"/>
          <w:b/>
          <w:bCs/>
          <w:color w:val="000000"/>
          <w:u w:val="single"/>
          <w:bdr w:val="none" w:sz="0" w:space="0" w:color="auto" w:frame="1"/>
          <w:lang w:eastAsia="en-GB"/>
        </w:rPr>
        <w:t>Hayfever</w:t>
      </w:r>
      <w:proofErr w:type="spellEnd"/>
      <w:r w:rsidRPr="0019280B">
        <w:rPr>
          <w:rFonts w:eastAsia="Times New Roman" w:cstheme="minorHAnsi"/>
          <w:b/>
          <w:bCs/>
          <w:color w:val="000000"/>
          <w:u w:val="single"/>
          <w:bdr w:val="none" w:sz="0" w:space="0" w:color="auto" w:frame="1"/>
          <w:lang w:eastAsia="en-GB"/>
        </w:rPr>
        <w:t xml:space="preserve"> PGD</w:t>
      </w:r>
      <w:r w:rsidRPr="0019280B">
        <w:rPr>
          <w:rFonts w:eastAsia="Times New Roman" w:cstheme="minorHAnsi"/>
          <w:color w:val="000000"/>
          <w:bdr w:val="none" w:sz="0" w:space="0" w:color="auto" w:frame="1"/>
          <w:lang w:eastAsia="en-GB"/>
        </w:rPr>
        <w:t>- On Monday you will have received an email from PCCT which included the PCA for new Pharmacy First PGDs. These will be added to the NHS Pharmacy First Scotland service for the treatment of seasonal allergic rhinitis (</w:t>
      </w:r>
      <w:proofErr w:type="spellStart"/>
      <w:r w:rsidRPr="0019280B">
        <w:rPr>
          <w:rFonts w:eastAsia="Times New Roman" w:cstheme="minorHAnsi"/>
          <w:color w:val="000000"/>
          <w:bdr w:val="none" w:sz="0" w:space="0" w:color="auto" w:frame="1"/>
          <w:lang w:eastAsia="en-GB"/>
        </w:rPr>
        <w:t>Hayfever</w:t>
      </w:r>
      <w:proofErr w:type="spellEnd"/>
      <w:r w:rsidRPr="0019280B">
        <w:rPr>
          <w:rFonts w:eastAsia="Times New Roman" w:cstheme="minorHAnsi"/>
          <w:color w:val="000000"/>
          <w:bdr w:val="none" w:sz="0" w:space="0" w:color="auto" w:frame="1"/>
          <w:lang w:eastAsia="en-GB"/>
        </w:rPr>
        <w:t>).  Please note that the PGDs are for information only until they go through local Board governance processes, when signed versions will then be sent out to all contractors.  Community pharmacy teams should however ensure they are familiar with the PGDs and complete any necessary training prior to the go live date as detailed in the PCA available </w:t>
      </w:r>
      <w:hyperlink r:id="rId7" w:tooltip="http://www.sehd.scot.nhs.uk/pca/PCA2023(P)27.pdf" w:history="1">
        <w:r w:rsidRPr="0019280B">
          <w:rPr>
            <w:rFonts w:eastAsia="Times New Roman" w:cstheme="minorHAnsi"/>
            <w:color w:val="0000FF"/>
            <w:u w:val="single"/>
            <w:bdr w:val="none" w:sz="0" w:space="0" w:color="auto" w:frame="1"/>
            <w:lang w:eastAsia="en-GB"/>
          </w:rPr>
          <w:t>here</w:t>
        </w:r>
      </w:hyperlink>
      <w:r w:rsidRPr="0019280B">
        <w:rPr>
          <w:rFonts w:eastAsia="Times New Roman" w:cstheme="minorHAnsi"/>
          <w:color w:val="000000"/>
          <w:bdr w:val="none" w:sz="0" w:space="0" w:color="auto" w:frame="1"/>
          <w:lang w:eastAsia="en-GB"/>
        </w:rPr>
        <w:t> </w:t>
      </w:r>
    </w:p>
    <w:p w14:paraId="3C855765" w14:textId="1AC1F7CC" w:rsidR="0019280B" w:rsidRPr="0019280B" w:rsidRDefault="0019280B" w:rsidP="0019280B">
      <w:pPr>
        <w:shd w:val="clear" w:color="auto" w:fill="FFFFFF"/>
        <w:spacing w:after="0" w:line="240" w:lineRule="auto"/>
        <w:ind w:firstLine="50"/>
        <w:textAlignment w:val="baseline"/>
        <w:rPr>
          <w:rFonts w:eastAsia="Times New Roman" w:cstheme="minorHAnsi"/>
          <w:color w:val="000000"/>
          <w:lang w:eastAsia="en-GB"/>
        </w:rPr>
      </w:pPr>
    </w:p>
    <w:p w14:paraId="62768FBC" w14:textId="77777777" w:rsidR="0019280B" w:rsidRPr="0019280B" w:rsidRDefault="0019280B" w:rsidP="0019280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19280B">
        <w:rPr>
          <w:rFonts w:eastAsia="Times New Roman" w:cstheme="minorHAnsi"/>
          <w:b/>
          <w:bCs/>
          <w:color w:val="000000"/>
          <w:u w:val="single"/>
          <w:bdr w:val="none" w:sz="0" w:space="0" w:color="auto" w:frame="1"/>
          <w:lang w:eastAsia="en-GB"/>
        </w:rPr>
        <w:t>Remuneration Package</w:t>
      </w:r>
      <w:r w:rsidRPr="0019280B">
        <w:rPr>
          <w:rFonts w:eastAsia="Times New Roman" w:cstheme="minorHAnsi"/>
          <w:b/>
          <w:bCs/>
          <w:color w:val="000000"/>
          <w:bdr w:val="none" w:sz="0" w:space="0" w:color="auto" w:frame="1"/>
          <w:lang w:eastAsia="en-GB"/>
        </w:rPr>
        <w:t>- </w:t>
      </w:r>
      <w:r w:rsidRPr="0019280B">
        <w:rPr>
          <w:rFonts w:eastAsia="Times New Roman" w:cstheme="minorHAnsi"/>
          <w:color w:val="000000"/>
          <w:bdr w:val="none" w:sz="0" w:space="0" w:color="auto" w:frame="1"/>
          <w:lang w:eastAsia="en-GB"/>
        </w:rPr>
        <w:t>The Community Pharmacy funding package for 2023/24 has been agreed and the PCA was circulated by PCCT on Monday </w:t>
      </w:r>
      <w:hyperlink r:id="rId8" w:history="1">
        <w:r w:rsidRPr="0019280B">
          <w:rPr>
            <w:rFonts w:eastAsia="Times New Roman" w:cstheme="minorHAnsi"/>
            <w:color w:val="0000FF"/>
            <w:u w:val="single"/>
            <w:bdr w:val="none" w:sz="0" w:space="0" w:color="auto" w:frame="1"/>
            <w:lang w:eastAsia="en-GB"/>
          </w:rPr>
          <w:t>PCA(P)(2023) 26 Community Pharmacy Funding</w:t>
        </w:r>
      </w:hyperlink>
    </w:p>
    <w:p w14:paraId="79751B86" w14:textId="3F9ABEA8" w:rsidR="0019280B" w:rsidRPr="0019280B" w:rsidRDefault="0019280B" w:rsidP="0019280B">
      <w:pPr>
        <w:shd w:val="clear" w:color="auto" w:fill="FFFFFF"/>
        <w:spacing w:after="0" w:line="240" w:lineRule="auto"/>
        <w:ind w:left="360" w:firstLine="50"/>
        <w:textAlignment w:val="baseline"/>
        <w:rPr>
          <w:rFonts w:eastAsia="Times New Roman" w:cstheme="minorHAnsi"/>
          <w:color w:val="000000"/>
          <w:lang w:eastAsia="en-GB"/>
        </w:rPr>
      </w:pPr>
    </w:p>
    <w:p w14:paraId="1CADEA07" w14:textId="77777777" w:rsidR="0019280B" w:rsidRPr="0019280B" w:rsidRDefault="0019280B" w:rsidP="0019280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19280B">
        <w:rPr>
          <w:rFonts w:eastAsia="Times New Roman" w:cstheme="minorHAnsi"/>
          <w:b/>
          <w:bCs/>
          <w:color w:val="000000"/>
          <w:u w:val="single"/>
          <w:bdr w:val="none" w:sz="0" w:space="0" w:color="auto" w:frame="1"/>
          <w:lang w:eastAsia="en-GB"/>
        </w:rPr>
        <w:t>Lothian Prescribing Bulletin (OOS)</w:t>
      </w:r>
      <w:r w:rsidRPr="0019280B">
        <w:rPr>
          <w:rFonts w:eastAsia="Times New Roman" w:cstheme="minorHAnsi"/>
          <w:color w:val="000000"/>
          <w:bdr w:val="none" w:sz="0" w:space="0" w:color="auto" w:frame="1"/>
          <w:lang w:eastAsia="en-GB"/>
        </w:rPr>
        <w:t> - The Lothian Prescribing Bulletin (attached) is issued bi-monthly and aims to support prescribing excellence in NHS Lothian</w:t>
      </w:r>
    </w:p>
    <w:p w14:paraId="56F7DC3E" w14:textId="300ADD27" w:rsidR="0019280B" w:rsidRPr="0019280B" w:rsidRDefault="0019280B" w:rsidP="0019280B">
      <w:pPr>
        <w:shd w:val="clear" w:color="auto" w:fill="FFFFFF"/>
        <w:spacing w:after="0" w:line="240" w:lineRule="auto"/>
        <w:ind w:left="360" w:firstLine="50"/>
        <w:textAlignment w:val="baseline"/>
        <w:rPr>
          <w:rFonts w:eastAsia="Times New Roman" w:cstheme="minorHAnsi"/>
          <w:color w:val="000000"/>
          <w:lang w:eastAsia="en-GB"/>
        </w:rPr>
      </w:pPr>
    </w:p>
    <w:p w14:paraId="410C94BE" w14:textId="374DFCE9" w:rsidR="0019280B" w:rsidRPr="0019280B" w:rsidRDefault="0019280B" w:rsidP="0019280B">
      <w:pPr>
        <w:pStyle w:val="ListParagraph"/>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19280B">
        <w:rPr>
          <w:rFonts w:eastAsia="Times New Roman" w:cstheme="minorHAnsi"/>
          <w:b/>
          <w:bCs/>
          <w:color w:val="000000"/>
          <w:u w:val="single"/>
          <w:bdr w:val="none" w:sz="0" w:space="0" w:color="auto" w:frame="1"/>
          <w:lang w:eastAsia="en-GB"/>
        </w:rPr>
        <w:t>MSANs 14 &amp; 15</w:t>
      </w:r>
      <w:r w:rsidRPr="0019280B">
        <w:rPr>
          <w:rFonts w:eastAsia="Times New Roman" w:cstheme="minorHAnsi"/>
          <w:color w:val="000000"/>
          <w:bdr w:val="none" w:sz="0" w:space="0" w:color="auto" w:frame="1"/>
          <w:lang w:eastAsia="en-GB"/>
        </w:rPr>
        <w:t> - There have been 2 MSANs released this week for Carbamazepine 100mg and Reboxetine 4mg tablets. Please see attached alerts for more detail.</w:t>
      </w:r>
      <w:r w:rsidRPr="0019280B">
        <w:rPr>
          <w:rFonts w:ascii="Calibri" w:eastAsia="Times New Roman" w:hAnsi="Calibri" w:cs="Calibri"/>
          <w:color w:val="000000"/>
          <w:sz w:val="24"/>
          <w:szCs w:val="24"/>
          <w:bdr w:val="none" w:sz="0" w:space="0" w:color="auto" w:frame="1"/>
          <w:lang w:eastAsia="en-GB"/>
        </w:rPr>
        <w:br/>
      </w:r>
      <w:r w:rsidRPr="0019280B">
        <w:rPr>
          <w:rFonts w:ascii="Calibri" w:eastAsia="Times New Roman" w:hAnsi="Calibri" w:cs="Calibri"/>
          <w:color w:val="000000"/>
          <w:sz w:val="24"/>
          <w:szCs w:val="24"/>
          <w:bdr w:val="none" w:sz="0" w:space="0" w:color="auto" w:frame="1"/>
          <w:lang w:eastAsia="en-GB"/>
        </w:rPr>
        <w:br/>
      </w:r>
    </w:p>
    <w:p w14:paraId="1AB30ACD" w14:textId="77777777" w:rsidR="0019280B" w:rsidRPr="0019280B" w:rsidRDefault="0019280B" w:rsidP="0019280B">
      <w:pPr>
        <w:shd w:val="clear" w:color="auto" w:fill="FFFFFF"/>
        <w:spacing w:after="0" w:line="240" w:lineRule="auto"/>
        <w:jc w:val="center"/>
        <w:textAlignment w:val="baseline"/>
        <w:rPr>
          <w:rFonts w:ascii="Calibri" w:eastAsia="Times New Roman" w:hAnsi="Calibri" w:cs="Calibri"/>
          <w:color w:val="000000"/>
          <w:lang w:eastAsia="en-GB"/>
        </w:rPr>
      </w:pPr>
      <w:r w:rsidRPr="0019280B">
        <w:rPr>
          <w:rFonts w:ascii="Source Sans Pro" w:eastAsia="Times New Roman" w:hAnsi="Source Sans Pro"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19280B">
        <w:rPr>
          <w:rFonts w:ascii="Source Sans Pro" w:eastAsia="Times New Roman" w:hAnsi="Source Sans Pro" w:cs="Calibri"/>
          <w:b/>
          <w:bCs/>
          <w:color w:val="000000"/>
          <w:sz w:val="24"/>
          <w:szCs w:val="24"/>
          <w:bdr w:val="none" w:sz="0" w:space="0" w:color="auto" w:frame="1"/>
          <w:shd w:val="clear" w:color="auto" w:fill="FFFFFF"/>
          <w:lang w:eastAsia="en-GB"/>
        </w:rPr>
        <w:br/>
      </w:r>
      <w:r w:rsidRPr="0019280B">
        <w:rPr>
          <w:rFonts w:ascii="Source Sans Pro" w:eastAsia="Times New Roman" w:hAnsi="Source Sans Pro" w:cs="Calibri"/>
          <w:b/>
          <w:bCs/>
          <w:color w:val="000000"/>
          <w:sz w:val="24"/>
          <w:szCs w:val="24"/>
          <w:bdr w:val="none" w:sz="0" w:space="0" w:color="auto" w:frame="1"/>
          <w:shd w:val="clear" w:color="auto" w:fill="FFFFFF"/>
          <w:lang w:eastAsia="en-GB"/>
        </w:rPr>
        <w:br/>
      </w:r>
    </w:p>
    <w:p w14:paraId="61B222C7" w14:textId="77777777" w:rsidR="0019280B" w:rsidRPr="0019280B" w:rsidRDefault="0019280B" w:rsidP="0019280B">
      <w:pPr>
        <w:shd w:val="clear" w:color="auto" w:fill="FFFFFF"/>
        <w:spacing w:after="0" w:line="240" w:lineRule="auto"/>
        <w:jc w:val="center"/>
        <w:textAlignment w:val="baseline"/>
        <w:rPr>
          <w:rFonts w:ascii="Lucida Calligraphy" w:eastAsia="Times New Roman" w:hAnsi="Lucida Calligraphy" w:cs="Calibri"/>
          <w:color w:val="000000"/>
          <w:lang w:eastAsia="en-GB"/>
        </w:rPr>
      </w:pPr>
      <w:r w:rsidRPr="0019280B">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09ED1100" w14:textId="77777777" w:rsidR="0019280B" w:rsidRPr="0019280B" w:rsidRDefault="0019280B" w:rsidP="0019280B">
      <w:pPr>
        <w:shd w:val="clear" w:color="auto" w:fill="FFFFFF"/>
        <w:spacing w:after="0" w:line="240" w:lineRule="auto"/>
        <w:jc w:val="center"/>
        <w:textAlignment w:val="baseline"/>
        <w:rPr>
          <w:rFonts w:ascii="Lucida Calligraphy" w:eastAsia="Times New Roman" w:hAnsi="Lucida Calligraphy" w:cs="Calibri"/>
          <w:color w:val="000000"/>
          <w:lang w:eastAsia="en-GB"/>
        </w:rPr>
      </w:pPr>
      <w:r w:rsidRPr="0019280B">
        <w:rPr>
          <w:rFonts w:ascii="Lucida Calligraphy" w:eastAsia="Times New Roman" w:hAnsi="Lucida Calligraphy" w:cs="Calibri"/>
          <w:b/>
          <w:bCs/>
          <w:color w:val="7030A0"/>
          <w:sz w:val="24"/>
          <w:szCs w:val="24"/>
          <w:bdr w:val="none" w:sz="0" w:space="0" w:color="auto" w:frame="1"/>
          <w:lang w:eastAsia="en-GB"/>
        </w:rPr>
        <w:t>Royal Edinburgh Hospital </w:t>
      </w:r>
    </w:p>
    <w:p w14:paraId="5BF34F18" w14:textId="77777777" w:rsidR="007940B5" w:rsidRDefault="0019280B"/>
    <w:sectPr w:rsidR="007940B5" w:rsidSect="0019280B">
      <w:pgSz w:w="11906" w:h="16838"/>
      <w:pgMar w:top="993"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972"/>
    <w:multiLevelType w:val="hybridMultilevel"/>
    <w:tmpl w:val="ACAA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03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0B"/>
    <w:rsid w:val="0018043C"/>
    <w:rsid w:val="0019280B"/>
    <w:rsid w:val="00235C4A"/>
    <w:rsid w:val="00390743"/>
    <w:rsid w:val="003D1E27"/>
    <w:rsid w:val="006753EC"/>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6825"/>
  <w15:chartTrackingRefBased/>
  <w15:docId w15:val="{95F39717-FE5D-4DFD-BCF2-7DD99F18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msonormal">
    <w:name w:val="x_x_x_x_x_x_x_msonormal"/>
    <w:basedOn w:val="Normal"/>
    <w:rsid w:val="001928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280B"/>
    <w:rPr>
      <w:color w:val="0000FF"/>
      <w:u w:val="single"/>
    </w:rPr>
  </w:style>
  <w:style w:type="paragraph" w:customStyle="1" w:styleId="xxxxxxxmsonospacing">
    <w:name w:val="x_x_x_x_x_x_x_msonospacing"/>
    <w:basedOn w:val="Normal"/>
    <w:rsid w:val="001928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msolistparagraph">
    <w:name w:val="x_x_x_x_x_x_x_msolistparagraph"/>
    <w:basedOn w:val="Normal"/>
    <w:rsid w:val="001928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9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10248">
      <w:bodyDiv w:val="1"/>
      <w:marLeft w:val="0"/>
      <w:marRight w:val="0"/>
      <w:marTop w:val="0"/>
      <w:marBottom w:val="0"/>
      <w:divBdr>
        <w:top w:val="none" w:sz="0" w:space="0" w:color="auto"/>
        <w:left w:val="none" w:sz="0" w:space="0" w:color="auto"/>
        <w:bottom w:val="none" w:sz="0" w:space="0" w:color="auto"/>
        <w:right w:val="none" w:sz="0" w:space="0" w:color="auto"/>
      </w:divBdr>
      <w:divsChild>
        <w:div w:id="1115828222">
          <w:marLeft w:val="0"/>
          <w:marRight w:val="0"/>
          <w:marTop w:val="0"/>
          <w:marBottom w:val="0"/>
          <w:divBdr>
            <w:top w:val="none" w:sz="0" w:space="0" w:color="auto"/>
            <w:left w:val="none" w:sz="0" w:space="0" w:color="auto"/>
            <w:bottom w:val="none" w:sz="0" w:space="0" w:color="auto"/>
            <w:right w:val="none" w:sz="0" w:space="0" w:color="auto"/>
          </w:divBdr>
          <w:divsChild>
            <w:div w:id="1931699939">
              <w:marLeft w:val="0"/>
              <w:marRight w:val="0"/>
              <w:marTop w:val="0"/>
              <w:marBottom w:val="0"/>
              <w:divBdr>
                <w:top w:val="none" w:sz="0" w:space="0" w:color="auto"/>
                <w:left w:val="none" w:sz="0" w:space="0" w:color="auto"/>
                <w:bottom w:val="none" w:sz="0" w:space="0" w:color="auto"/>
                <w:right w:val="none" w:sz="0" w:space="0" w:color="auto"/>
              </w:divBdr>
            </w:div>
          </w:divsChild>
        </w:div>
        <w:div w:id="497579721">
          <w:marLeft w:val="0"/>
          <w:marRight w:val="0"/>
          <w:marTop w:val="0"/>
          <w:marBottom w:val="0"/>
          <w:divBdr>
            <w:top w:val="none" w:sz="0" w:space="0" w:color="auto"/>
            <w:left w:val="none" w:sz="0" w:space="0" w:color="auto"/>
            <w:bottom w:val="none" w:sz="0" w:space="0" w:color="auto"/>
            <w:right w:val="none" w:sz="0" w:space="0" w:color="auto"/>
          </w:divBdr>
          <w:divsChild>
            <w:div w:id="844318050">
              <w:marLeft w:val="0"/>
              <w:marRight w:val="0"/>
              <w:marTop w:val="0"/>
              <w:marBottom w:val="0"/>
              <w:divBdr>
                <w:top w:val="none" w:sz="0" w:space="0" w:color="auto"/>
                <w:left w:val="none" w:sz="0" w:space="0" w:color="auto"/>
                <w:bottom w:val="none" w:sz="0" w:space="0" w:color="auto"/>
                <w:right w:val="none" w:sz="0" w:space="0" w:color="auto"/>
              </w:divBdr>
            </w:div>
            <w:div w:id="1283878270">
              <w:marLeft w:val="0"/>
              <w:marRight w:val="0"/>
              <w:marTop w:val="0"/>
              <w:marBottom w:val="0"/>
              <w:divBdr>
                <w:top w:val="none" w:sz="0" w:space="0" w:color="auto"/>
                <w:left w:val="none" w:sz="0" w:space="0" w:color="auto"/>
                <w:bottom w:val="none" w:sz="0" w:space="0" w:color="auto"/>
                <w:right w:val="none" w:sz="0" w:space="0" w:color="auto"/>
              </w:divBdr>
              <w:divsChild>
                <w:div w:id="1468472146">
                  <w:marLeft w:val="0"/>
                  <w:marRight w:val="0"/>
                  <w:marTop w:val="0"/>
                  <w:marBottom w:val="0"/>
                  <w:divBdr>
                    <w:top w:val="none" w:sz="0" w:space="0" w:color="auto"/>
                    <w:left w:val="none" w:sz="0" w:space="0" w:color="auto"/>
                    <w:bottom w:val="none" w:sz="0" w:space="0" w:color="auto"/>
                    <w:right w:val="none" w:sz="0" w:space="0" w:color="auto"/>
                  </w:divBdr>
                </w:div>
                <w:div w:id="650865680">
                  <w:marLeft w:val="0"/>
                  <w:marRight w:val="0"/>
                  <w:marTop w:val="0"/>
                  <w:marBottom w:val="0"/>
                  <w:divBdr>
                    <w:top w:val="none" w:sz="0" w:space="0" w:color="auto"/>
                    <w:left w:val="none" w:sz="0" w:space="0" w:color="auto"/>
                    <w:bottom w:val="none" w:sz="0" w:space="0" w:color="auto"/>
                    <w:right w:val="none" w:sz="0" w:space="0" w:color="auto"/>
                  </w:divBdr>
                  <w:divsChild>
                    <w:div w:id="1500999075">
                      <w:marLeft w:val="0"/>
                      <w:marRight w:val="0"/>
                      <w:marTop w:val="0"/>
                      <w:marBottom w:val="0"/>
                      <w:divBdr>
                        <w:top w:val="none" w:sz="0" w:space="0" w:color="auto"/>
                        <w:left w:val="none" w:sz="0" w:space="0" w:color="auto"/>
                        <w:bottom w:val="none" w:sz="0" w:space="0" w:color="auto"/>
                        <w:right w:val="none" w:sz="0" w:space="0" w:color="auto"/>
                      </w:divBdr>
                      <w:divsChild>
                        <w:div w:id="7822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601d44b7e8475c7d8be2ea36/t/64cd2c6a228d6d741366a3e3/1691167851013/PCA%28P%29+%282023%29+26+Pharmaceutical+Services+Amendments+to+Drug+Tariff+in+Respect+of+Remuneration+Arrangement+and+Part+7+Clawback.pdf" TargetMode="External"/><Relationship Id="rId3" Type="http://schemas.openxmlformats.org/officeDocument/2006/relationships/settings" Target="settings.xml"/><Relationship Id="rId7" Type="http://schemas.openxmlformats.org/officeDocument/2006/relationships/hyperlink" Target="http://www.sehd.scot.nhs.uk/pca/PCA2023(P)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2023-08-24T09:09:00Z</dcterms:created>
  <dcterms:modified xsi:type="dcterms:W3CDTF">2023-08-24T09:12:00Z</dcterms:modified>
</cp:coreProperties>
</file>