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A2" w:rsidRPr="001E3548" w:rsidRDefault="00AD7DA2" w:rsidP="001E3548">
      <w:pPr>
        <w:spacing w:after="0" w:line="240" w:lineRule="auto"/>
        <w:rPr>
          <w:rFonts w:ascii="Arial" w:hAnsi="Arial" w:cs="Arial"/>
        </w:rPr>
      </w:pPr>
    </w:p>
    <w:p w:rsidR="000020CA" w:rsidRDefault="000020CA" w:rsidP="001E3548">
      <w:pPr>
        <w:spacing w:after="0" w:line="240" w:lineRule="auto"/>
        <w:rPr>
          <w:rFonts w:ascii="Arial" w:hAnsi="Arial" w:cs="Arial"/>
        </w:rPr>
      </w:pPr>
    </w:p>
    <w:p w:rsidR="001E3548" w:rsidRDefault="001E3548" w:rsidP="001E354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1E3548" w:rsidTr="001F11F8">
        <w:tc>
          <w:tcPr>
            <w:tcW w:w="9209" w:type="dxa"/>
            <w:vAlign w:val="center"/>
          </w:tcPr>
          <w:p w:rsidR="001E3548" w:rsidRDefault="001E3548" w:rsidP="001E35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1E3548" w:rsidRDefault="001E3548" w:rsidP="001E35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when completed</w:t>
            </w:r>
          </w:p>
        </w:tc>
      </w:tr>
      <w:tr w:rsidR="001E3548" w:rsidTr="001F11F8">
        <w:trPr>
          <w:trHeight w:val="759"/>
        </w:trPr>
        <w:tc>
          <w:tcPr>
            <w:tcW w:w="9209" w:type="dxa"/>
            <w:vAlign w:val="center"/>
          </w:tcPr>
          <w:p w:rsidR="001E3548" w:rsidRPr="004074A3" w:rsidRDefault="001E3548" w:rsidP="001F11F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54" w:hanging="425"/>
              <w:rPr>
                <w:rFonts w:ascii="Arial" w:hAnsi="Arial" w:cs="Arial"/>
                <w:sz w:val="24"/>
              </w:rPr>
            </w:pPr>
            <w:r w:rsidRPr="004074A3">
              <w:rPr>
                <w:rFonts w:ascii="Arial" w:hAnsi="Arial" w:cs="Arial"/>
                <w:sz w:val="24"/>
              </w:rPr>
              <w:t>Phone call received from hospital to advise patient suitable for Medicines Reconciliation and Supply project?</w:t>
            </w:r>
          </w:p>
        </w:tc>
        <w:tc>
          <w:tcPr>
            <w:tcW w:w="1247" w:type="dxa"/>
          </w:tcPr>
          <w:p w:rsidR="001E3548" w:rsidRDefault="001E3548" w:rsidP="001F11F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E3548" w:rsidTr="001F11F8">
        <w:trPr>
          <w:trHeight w:val="759"/>
        </w:trPr>
        <w:tc>
          <w:tcPr>
            <w:tcW w:w="9209" w:type="dxa"/>
            <w:vAlign w:val="center"/>
          </w:tcPr>
          <w:p w:rsidR="001E3548" w:rsidRPr="004074A3" w:rsidRDefault="00D44C1C" w:rsidP="001F11F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54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Community Pharmacy t</w:t>
            </w:r>
            <w:r w:rsidR="001E3548" w:rsidRPr="004074A3">
              <w:rPr>
                <w:rFonts w:ascii="Arial" w:hAnsi="Arial" w:cs="Arial"/>
                <w:sz w:val="24"/>
              </w:rPr>
              <w:t>eam obtain</w:t>
            </w:r>
            <w:r w:rsidR="00367ADB">
              <w:rPr>
                <w:rFonts w:ascii="Arial" w:hAnsi="Arial" w:cs="Arial"/>
                <w:sz w:val="24"/>
              </w:rPr>
              <w:t xml:space="preserve"> electronic</w:t>
            </w:r>
            <w:r w:rsidR="001E3548" w:rsidRPr="004074A3">
              <w:rPr>
                <w:rFonts w:ascii="Arial" w:hAnsi="Arial" w:cs="Arial"/>
                <w:sz w:val="24"/>
              </w:rPr>
              <w:t xml:space="preserve"> IDL</w:t>
            </w:r>
            <w:r w:rsidR="00367ADB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="00367ADB">
              <w:rPr>
                <w:rFonts w:ascii="Arial" w:hAnsi="Arial" w:cs="Arial"/>
                <w:sz w:val="24"/>
              </w:rPr>
              <w:t>eIDL</w:t>
            </w:r>
            <w:proofErr w:type="spellEnd"/>
            <w:r w:rsidR="00367ADB">
              <w:rPr>
                <w:rFonts w:ascii="Arial" w:hAnsi="Arial" w:cs="Arial"/>
                <w:sz w:val="24"/>
              </w:rPr>
              <w:t>)</w:t>
            </w:r>
            <w:r w:rsidR="001E3548" w:rsidRPr="004074A3">
              <w:rPr>
                <w:rFonts w:ascii="Arial" w:hAnsi="Arial" w:cs="Arial"/>
                <w:sz w:val="24"/>
              </w:rPr>
              <w:t xml:space="preserve"> from Clinical Portal</w:t>
            </w:r>
            <w:r w:rsidR="00367ADB">
              <w:rPr>
                <w:rFonts w:ascii="Arial" w:hAnsi="Arial" w:cs="Arial"/>
                <w:sz w:val="24"/>
              </w:rPr>
              <w:t xml:space="preserve"> or a copy from the Patient (or their representative)</w:t>
            </w:r>
            <w:r w:rsidR="001E3548" w:rsidRPr="004074A3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1247" w:type="dxa"/>
          </w:tcPr>
          <w:p w:rsidR="001E3548" w:rsidRDefault="001E3548" w:rsidP="001F11F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3548" w:rsidTr="001F11F8">
        <w:trPr>
          <w:trHeight w:val="759"/>
        </w:trPr>
        <w:tc>
          <w:tcPr>
            <w:tcW w:w="9209" w:type="dxa"/>
            <w:vAlign w:val="center"/>
          </w:tcPr>
          <w:p w:rsidR="001E3548" w:rsidRPr="004074A3" w:rsidRDefault="00D44C1C" w:rsidP="001F11F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54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Community Pharmacy t</w:t>
            </w:r>
            <w:r w:rsidR="001E3548" w:rsidRPr="004074A3">
              <w:rPr>
                <w:rFonts w:ascii="Arial" w:hAnsi="Arial" w:cs="Arial"/>
                <w:sz w:val="24"/>
              </w:rPr>
              <w:t>eam completes medicine reconciliation as per medicines reconciliation guide?</w:t>
            </w:r>
          </w:p>
        </w:tc>
        <w:tc>
          <w:tcPr>
            <w:tcW w:w="1247" w:type="dxa"/>
          </w:tcPr>
          <w:p w:rsidR="001E3548" w:rsidRDefault="001E3548" w:rsidP="001F11F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3548" w:rsidTr="001F11F8">
        <w:trPr>
          <w:trHeight w:val="759"/>
        </w:trPr>
        <w:tc>
          <w:tcPr>
            <w:tcW w:w="9209" w:type="dxa"/>
            <w:vAlign w:val="center"/>
          </w:tcPr>
          <w:p w:rsidR="001E3548" w:rsidRPr="004074A3" w:rsidRDefault="00D44C1C" w:rsidP="001F11F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54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Community Pharmacy t</w:t>
            </w:r>
            <w:r w:rsidR="001E3548" w:rsidRPr="004074A3">
              <w:rPr>
                <w:rFonts w:ascii="Arial" w:hAnsi="Arial" w:cs="Arial"/>
                <w:sz w:val="24"/>
              </w:rPr>
              <w:t>eam completes SBAR as per medicines reconciliation guide?</w:t>
            </w:r>
          </w:p>
        </w:tc>
        <w:tc>
          <w:tcPr>
            <w:tcW w:w="1247" w:type="dxa"/>
          </w:tcPr>
          <w:p w:rsidR="001E3548" w:rsidRDefault="001E3548" w:rsidP="001F11F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3548" w:rsidTr="001F11F8">
        <w:trPr>
          <w:trHeight w:val="759"/>
        </w:trPr>
        <w:tc>
          <w:tcPr>
            <w:tcW w:w="9209" w:type="dxa"/>
            <w:vAlign w:val="center"/>
          </w:tcPr>
          <w:p w:rsidR="001F11F8" w:rsidRDefault="00D44C1C" w:rsidP="001F11F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54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Community Pharmacy t</w:t>
            </w:r>
            <w:r w:rsidR="001E3548" w:rsidRPr="004074A3">
              <w:rPr>
                <w:rFonts w:ascii="Arial" w:hAnsi="Arial" w:cs="Arial"/>
                <w:sz w:val="24"/>
              </w:rPr>
              <w:t>eam emails completed SBAR to appropriate email address for each locality (see Appendix 1 below)?</w:t>
            </w:r>
          </w:p>
          <w:p w:rsidR="001E3548" w:rsidRPr="004074A3" w:rsidRDefault="001F11F8" w:rsidP="001F11F8">
            <w:pPr>
              <w:pStyle w:val="ListParagraph"/>
              <w:spacing w:before="60" w:after="60" w:line="240" w:lineRule="auto"/>
              <w:ind w:left="45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This MUST be completed w</w:t>
            </w:r>
            <w:r w:rsidR="00D44C1C">
              <w:rPr>
                <w:rFonts w:ascii="Arial" w:hAnsi="Arial" w:cs="Arial"/>
                <w:b/>
                <w:sz w:val="24"/>
              </w:rPr>
              <w:t>ithin 24 hours of patient discharge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247" w:type="dxa"/>
          </w:tcPr>
          <w:p w:rsidR="001E3548" w:rsidRDefault="001E3548" w:rsidP="001F11F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3548" w:rsidTr="001F11F8">
        <w:trPr>
          <w:trHeight w:val="759"/>
        </w:trPr>
        <w:tc>
          <w:tcPr>
            <w:tcW w:w="9209" w:type="dxa"/>
            <w:vAlign w:val="center"/>
          </w:tcPr>
          <w:p w:rsidR="001E3548" w:rsidRPr="004074A3" w:rsidRDefault="001E3548" w:rsidP="001F11F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54" w:hanging="425"/>
              <w:rPr>
                <w:rFonts w:ascii="Arial" w:hAnsi="Arial" w:cs="Arial"/>
                <w:sz w:val="24"/>
              </w:rPr>
            </w:pPr>
            <w:r w:rsidRPr="004074A3">
              <w:rPr>
                <w:rFonts w:ascii="Arial" w:hAnsi="Arial" w:cs="Arial"/>
                <w:sz w:val="24"/>
              </w:rPr>
              <w:t xml:space="preserve">Community Pharmacy </w:t>
            </w:r>
            <w:r w:rsidR="00D44C1C">
              <w:rPr>
                <w:rFonts w:ascii="Arial" w:hAnsi="Arial" w:cs="Arial"/>
                <w:sz w:val="24"/>
              </w:rPr>
              <w:t>t</w:t>
            </w:r>
            <w:r w:rsidRPr="004074A3">
              <w:rPr>
                <w:rFonts w:ascii="Arial" w:hAnsi="Arial" w:cs="Arial"/>
                <w:sz w:val="24"/>
              </w:rPr>
              <w:t>eam dispenses any new or changed medication required by the patient and</w:t>
            </w:r>
            <w:r w:rsidR="001F11F8">
              <w:rPr>
                <w:rFonts w:ascii="Arial" w:hAnsi="Arial" w:cs="Arial"/>
                <w:sz w:val="24"/>
              </w:rPr>
              <w:t xml:space="preserve"> uses UCF Local Service option to generate/claim medication costs?</w:t>
            </w:r>
          </w:p>
        </w:tc>
        <w:tc>
          <w:tcPr>
            <w:tcW w:w="1247" w:type="dxa"/>
          </w:tcPr>
          <w:p w:rsidR="001E3548" w:rsidRDefault="001E3548" w:rsidP="001F11F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3548" w:rsidTr="001F11F8">
        <w:trPr>
          <w:trHeight w:val="759"/>
        </w:trPr>
        <w:tc>
          <w:tcPr>
            <w:tcW w:w="9209" w:type="dxa"/>
            <w:vAlign w:val="center"/>
          </w:tcPr>
          <w:p w:rsidR="001E3548" w:rsidRPr="004074A3" w:rsidRDefault="004074A3" w:rsidP="001F11F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54" w:hanging="425"/>
              <w:rPr>
                <w:rFonts w:ascii="Arial" w:hAnsi="Arial" w:cs="Arial"/>
                <w:sz w:val="24"/>
              </w:rPr>
            </w:pPr>
            <w:r w:rsidRPr="004074A3">
              <w:rPr>
                <w:rFonts w:ascii="Arial" w:hAnsi="Arial" w:cs="Arial"/>
                <w:sz w:val="24"/>
              </w:rPr>
              <w:t>When Patient/Carer collects medication, Community Pharmac</w:t>
            </w:r>
            <w:r w:rsidR="00D44C1C">
              <w:rPr>
                <w:rFonts w:ascii="Arial" w:hAnsi="Arial" w:cs="Arial"/>
                <w:sz w:val="24"/>
              </w:rPr>
              <w:t>y t</w:t>
            </w:r>
            <w:r w:rsidRPr="004074A3">
              <w:rPr>
                <w:rFonts w:ascii="Arial" w:hAnsi="Arial" w:cs="Arial"/>
                <w:sz w:val="24"/>
              </w:rPr>
              <w:t>eam to discuss any new or changed medication by completing a new medication template on PCR (this discussion must happen within 5 days of patient discharge)?</w:t>
            </w:r>
          </w:p>
        </w:tc>
        <w:tc>
          <w:tcPr>
            <w:tcW w:w="1247" w:type="dxa"/>
          </w:tcPr>
          <w:p w:rsidR="001E3548" w:rsidRDefault="001E3548" w:rsidP="001F11F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074A3" w:rsidTr="001F11F8">
        <w:trPr>
          <w:trHeight w:val="759"/>
        </w:trPr>
        <w:tc>
          <w:tcPr>
            <w:tcW w:w="9209" w:type="dxa"/>
            <w:vAlign w:val="center"/>
          </w:tcPr>
          <w:p w:rsidR="004074A3" w:rsidRPr="004074A3" w:rsidRDefault="001F11F8" w:rsidP="001F11F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54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Update GGC MRS </w:t>
            </w:r>
            <w:r w:rsidR="00367ADB">
              <w:rPr>
                <w:rFonts w:ascii="Arial" w:hAnsi="Arial" w:cs="Arial"/>
                <w:sz w:val="24"/>
              </w:rPr>
              <w:t xml:space="preserve">electronic </w:t>
            </w:r>
            <w:r>
              <w:rPr>
                <w:rFonts w:ascii="Arial" w:hAnsi="Arial" w:cs="Arial"/>
                <w:sz w:val="24"/>
              </w:rPr>
              <w:t xml:space="preserve">Claim Form with Pts CHI number and date of discharge?  This is submitted monthly to CPDT </w:t>
            </w:r>
            <w:r w:rsidR="00367ADB">
              <w:rPr>
                <w:rFonts w:ascii="Arial" w:hAnsi="Arial" w:cs="Arial"/>
                <w:sz w:val="24"/>
              </w:rPr>
              <w:t xml:space="preserve">via the Electronic Claiming Workbook (ECW) </w:t>
            </w:r>
            <w:r>
              <w:rPr>
                <w:rFonts w:ascii="Arial" w:hAnsi="Arial" w:cs="Arial"/>
                <w:sz w:val="24"/>
              </w:rPr>
              <w:t>to claim service fee per patient.</w:t>
            </w:r>
          </w:p>
        </w:tc>
        <w:tc>
          <w:tcPr>
            <w:tcW w:w="1247" w:type="dxa"/>
          </w:tcPr>
          <w:p w:rsidR="004074A3" w:rsidRDefault="004074A3" w:rsidP="001F11F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020CA" w:rsidRDefault="000020CA" w:rsidP="001E3548">
      <w:pPr>
        <w:tabs>
          <w:tab w:val="left" w:pos="1920"/>
        </w:tabs>
        <w:spacing w:after="0" w:line="240" w:lineRule="auto"/>
        <w:rPr>
          <w:rFonts w:ascii="Arial" w:hAnsi="Arial" w:cs="Arial"/>
        </w:rPr>
      </w:pPr>
    </w:p>
    <w:p w:rsidR="004074A3" w:rsidRPr="00AD7DA2" w:rsidRDefault="004074A3" w:rsidP="001E3548">
      <w:pPr>
        <w:tabs>
          <w:tab w:val="left" w:pos="1920"/>
        </w:tabs>
        <w:spacing w:after="0" w:line="240" w:lineRule="auto"/>
        <w:rPr>
          <w:rFonts w:ascii="Arial" w:hAnsi="Arial" w:cs="Arial"/>
        </w:rPr>
      </w:pPr>
    </w:p>
    <w:p w:rsidR="000020CA" w:rsidRPr="004074A3" w:rsidRDefault="004074A3" w:rsidP="001E3548">
      <w:pPr>
        <w:tabs>
          <w:tab w:val="left" w:pos="1920"/>
        </w:tabs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4074A3">
        <w:rPr>
          <w:rFonts w:ascii="Arial" w:hAnsi="Arial" w:cs="Arial"/>
          <w:b/>
          <w:sz w:val="24"/>
          <w:u w:val="single"/>
        </w:rPr>
        <w:t>Appendix 1</w:t>
      </w:r>
    </w:p>
    <w:p w:rsidR="000020CA" w:rsidRPr="004074A3" w:rsidRDefault="000020CA" w:rsidP="001E3548">
      <w:pPr>
        <w:tabs>
          <w:tab w:val="left" w:pos="1920"/>
        </w:tabs>
        <w:spacing w:after="0" w:line="240" w:lineRule="auto"/>
        <w:rPr>
          <w:rFonts w:ascii="Arial" w:hAnsi="Arial" w:cs="Arial"/>
        </w:rPr>
      </w:pPr>
    </w:p>
    <w:p w:rsidR="000020CA" w:rsidRPr="004074A3" w:rsidRDefault="004074A3" w:rsidP="001E3548">
      <w:pPr>
        <w:tabs>
          <w:tab w:val="left" w:pos="19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 addresses for C</w:t>
      </w:r>
      <w:r w:rsidR="000020CA" w:rsidRPr="004074A3">
        <w:rPr>
          <w:rFonts w:ascii="Arial" w:hAnsi="Arial" w:cs="Arial"/>
          <w:sz w:val="24"/>
        </w:rPr>
        <w:t xml:space="preserve">ommunity </w:t>
      </w:r>
      <w:r>
        <w:rPr>
          <w:rFonts w:ascii="Arial" w:hAnsi="Arial" w:cs="Arial"/>
          <w:sz w:val="24"/>
        </w:rPr>
        <w:t>P</w:t>
      </w:r>
      <w:r w:rsidR="00D44C1C">
        <w:rPr>
          <w:rFonts w:ascii="Arial" w:hAnsi="Arial" w:cs="Arial"/>
          <w:sz w:val="24"/>
        </w:rPr>
        <w:t>harmacists</w:t>
      </w:r>
      <w:r>
        <w:rPr>
          <w:rFonts w:ascii="Arial" w:hAnsi="Arial" w:cs="Arial"/>
          <w:sz w:val="24"/>
        </w:rPr>
        <w:t xml:space="preserve"> to send completed SBAR to P</w:t>
      </w:r>
      <w:r w:rsidR="000020CA" w:rsidRPr="004074A3">
        <w:rPr>
          <w:rFonts w:ascii="Arial" w:hAnsi="Arial" w:cs="Arial"/>
          <w:sz w:val="24"/>
        </w:rPr>
        <w:t xml:space="preserve">rimary </w:t>
      </w:r>
      <w:r>
        <w:rPr>
          <w:rFonts w:ascii="Arial" w:hAnsi="Arial" w:cs="Arial"/>
          <w:sz w:val="24"/>
        </w:rPr>
        <w:t>C</w:t>
      </w:r>
      <w:r w:rsidR="000020CA" w:rsidRPr="004074A3">
        <w:rPr>
          <w:rFonts w:ascii="Arial" w:hAnsi="Arial" w:cs="Arial"/>
          <w:sz w:val="24"/>
        </w:rPr>
        <w:t xml:space="preserve">are </w:t>
      </w:r>
      <w:r>
        <w:rPr>
          <w:rFonts w:ascii="Arial" w:hAnsi="Arial" w:cs="Arial"/>
          <w:sz w:val="24"/>
        </w:rPr>
        <w:t>P</w:t>
      </w:r>
      <w:r w:rsidR="000020CA" w:rsidRPr="004074A3">
        <w:rPr>
          <w:rFonts w:ascii="Arial" w:hAnsi="Arial" w:cs="Arial"/>
          <w:sz w:val="24"/>
        </w:rPr>
        <w:t xml:space="preserve">harmacy </w:t>
      </w:r>
      <w:r>
        <w:rPr>
          <w:rFonts w:ascii="Arial" w:hAnsi="Arial" w:cs="Arial"/>
          <w:sz w:val="24"/>
        </w:rPr>
        <w:t>T</w:t>
      </w:r>
      <w:r w:rsidR="000020CA" w:rsidRPr="004074A3">
        <w:rPr>
          <w:rFonts w:ascii="Arial" w:hAnsi="Arial" w:cs="Arial"/>
          <w:sz w:val="24"/>
        </w:rPr>
        <w:t>eam</w:t>
      </w:r>
      <w:r>
        <w:rPr>
          <w:rFonts w:ascii="Arial" w:hAnsi="Arial" w:cs="Arial"/>
          <w:sz w:val="24"/>
        </w:rPr>
        <w:t>s</w:t>
      </w:r>
      <w:r w:rsidR="00AC0A4F">
        <w:rPr>
          <w:rFonts w:ascii="Arial" w:hAnsi="Arial" w:cs="Arial"/>
          <w:sz w:val="24"/>
        </w:rPr>
        <w:t xml:space="preserve"> (</w:t>
      </w:r>
      <w:r w:rsidR="00AC0A4F" w:rsidRPr="00AC0A4F">
        <w:rPr>
          <w:rFonts w:ascii="Arial" w:hAnsi="Arial" w:cs="Arial"/>
          <w:sz w:val="24"/>
          <w:u w:val="single"/>
        </w:rPr>
        <w:t>within 24 hours of patients discharge from hospital</w:t>
      </w:r>
      <w:r w:rsidR="00AC0A4F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:</w:t>
      </w:r>
    </w:p>
    <w:p w:rsidR="000020CA" w:rsidRPr="004074A3" w:rsidRDefault="000020CA" w:rsidP="001E3548">
      <w:pPr>
        <w:tabs>
          <w:tab w:val="left" w:pos="1920"/>
        </w:tabs>
        <w:spacing w:after="0" w:line="240" w:lineRule="auto"/>
        <w:rPr>
          <w:rFonts w:ascii="Arial" w:hAnsi="Arial" w:cs="Arial"/>
        </w:rPr>
      </w:pPr>
    </w:p>
    <w:p w:rsidR="004074A3" w:rsidRDefault="000020CA" w:rsidP="001E3548">
      <w:pPr>
        <w:tabs>
          <w:tab w:val="left" w:pos="1920"/>
        </w:tabs>
        <w:spacing w:after="0" w:line="240" w:lineRule="auto"/>
        <w:rPr>
          <w:rFonts w:ascii="Arial" w:hAnsi="Arial" w:cs="Arial"/>
          <w:sz w:val="24"/>
        </w:rPr>
      </w:pPr>
      <w:r w:rsidRPr="004074A3">
        <w:rPr>
          <w:rFonts w:ascii="Arial" w:hAnsi="Arial" w:cs="Arial"/>
          <w:b/>
          <w:sz w:val="24"/>
        </w:rPr>
        <w:t>Glasgow N.E.</w:t>
      </w:r>
    </w:p>
    <w:p w:rsidR="004074A3" w:rsidRDefault="00367ADB" w:rsidP="001E3548">
      <w:pPr>
        <w:tabs>
          <w:tab w:val="left" w:pos="1920"/>
        </w:tabs>
        <w:spacing w:after="0" w:line="240" w:lineRule="auto"/>
        <w:rPr>
          <w:rFonts w:ascii="Arial" w:hAnsi="Arial" w:cs="Arial"/>
          <w:sz w:val="24"/>
        </w:rPr>
      </w:pPr>
      <w:hyperlink r:id="rId7" w:history="1">
        <w:r w:rsidR="004074A3" w:rsidRPr="000965D4">
          <w:rPr>
            <w:rStyle w:val="Hyperlink"/>
            <w:rFonts w:ascii="Arial" w:hAnsi="Arial" w:cs="Arial"/>
            <w:sz w:val="24"/>
          </w:rPr>
          <w:t>PharmacyHubNE@ggc.scot.nhs.uk</w:t>
        </w:r>
      </w:hyperlink>
    </w:p>
    <w:p w:rsidR="004074A3" w:rsidRPr="004074A3" w:rsidRDefault="004074A3" w:rsidP="001E3548">
      <w:pPr>
        <w:tabs>
          <w:tab w:val="left" w:pos="1920"/>
        </w:tabs>
        <w:spacing w:after="0" w:line="240" w:lineRule="auto"/>
        <w:rPr>
          <w:rFonts w:ascii="Arial" w:hAnsi="Arial" w:cs="Arial"/>
        </w:rPr>
      </w:pPr>
    </w:p>
    <w:p w:rsidR="004074A3" w:rsidRDefault="004074A3" w:rsidP="001E3548">
      <w:pPr>
        <w:tabs>
          <w:tab w:val="left" w:pos="1920"/>
        </w:tabs>
        <w:spacing w:after="0" w:line="240" w:lineRule="auto"/>
        <w:rPr>
          <w:rFonts w:ascii="Arial" w:hAnsi="Arial" w:cs="Arial"/>
          <w:sz w:val="24"/>
        </w:rPr>
      </w:pPr>
      <w:r w:rsidRPr="004074A3">
        <w:rPr>
          <w:rFonts w:ascii="Arial" w:hAnsi="Arial" w:cs="Arial"/>
          <w:b/>
          <w:sz w:val="24"/>
        </w:rPr>
        <w:t xml:space="preserve">Glasgow </w:t>
      </w:r>
      <w:r w:rsidR="000020CA" w:rsidRPr="004074A3">
        <w:rPr>
          <w:rFonts w:ascii="Arial" w:hAnsi="Arial" w:cs="Arial"/>
          <w:b/>
          <w:sz w:val="24"/>
        </w:rPr>
        <w:t>N.W.</w:t>
      </w:r>
    </w:p>
    <w:p w:rsidR="000020CA" w:rsidRDefault="00367ADB" w:rsidP="001E3548">
      <w:pPr>
        <w:tabs>
          <w:tab w:val="left" w:pos="1920"/>
        </w:tabs>
        <w:spacing w:after="0" w:line="240" w:lineRule="auto"/>
        <w:rPr>
          <w:rFonts w:ascii="Arial" w:hAnsi="Arial" w:cs="Arial"/>
          <w:sz w:val="24"/>
        </w:rPr>
      </w:pPr>
      <w:hyperlink r:id="rId8" w:history="1">
        <w:r w:rsidR="004074A3" w:rsidRPr="000965D4">
          <w:rPr>
            <w:rStyle w:val="Hyperlink"/>
            <w:rFonts w:ascii="Arial" w:hAnsi="Arial" w:cs="Arial"/>
            <w:sz w:val="24"/>
          </w:rPr>
          <w:t>ggc.nwpcpharmacy@ggc.scot.nhs.uk</w:t>
        </w:r>
      </w:hyperlink>
    </w:p>
    <w:p w:rsidR="004074A3" w:rsidRPr="004074A3" w:rsidRDefault="004074A3" w:rsidP="001E3548">
      <w:pPr>
        <w:tabs>
          <w:tab w:val="left" w:pos="1920"/>
        </w:tabs>
        <w:spacing w:after="0" w:line="240" w:lineRule="auto"/>
        <w:rPr>
          <w:rFonts w:ascii="Arial" w:hAnsi="Arial" w:cs="Arial"/>
        </w:rPr>
      </w:pPr>
    </w:p>
    <w:p w:rsidR="004074A3" w:rsidRDefault="000020CA" w:rsidP="001E3548">
      <w:pPr>
        <w:tabs>
          <w:tab w:val="left" w:pos="1920"/>
        </w:tabs>
        <w:spacing w:after="0" w:line="240" w:lineRule="auto"/>
        <w:rPr>
          <w:rFonts w:ascii="Arial" w:hAnsi="Arial" w:cs="Arial"/>
          <w:b/>
          <w:sz w:val="24"/>
        </w:rPr>
      </w:pPr>
      <w:r w:rsidRPr="004074A3">
        <w:rPr>
          <w:rFonts w:ascii="Arial" w:hAnsi="Arial" w:cs="Arial"/>
          <w:b/>
          <w:sz w:val="24"/>
        </w:rPr>
        <w:t>East Dun</w:t>
      </w:r>
      <w:r w:rsidR="004074A3">
        <w:rPr>
          <w:rFonts w:ascii="Arial" w:hAnsi="Arial" w:cs="Arial"/>
          <w:b/>
          <w:sz w:val="24"/>
        </w:rPr>
        <w:t>bartonshire</w:t>
      </w:r>
    </w:p>
    <w:p w:rsidR="000020CA" w:rsidRPr="004074A3" w:rsidRDefault="00367ADB" w:rsidP="001E3548">
      <w:pPr>
        <w:tabs>
          <w:tab w:val="left" w:pos="1920"/>
        </w:tabs>
        <w:spacing w:after="0" w:line="240" w:lineRule="auto"/>
        <w:rPr>
          <w:rFonts w:ascii="Arial" w:hAnsi="Arial" w:cs="Arial"/>
          <w:sz w:val="24"/>
        </w:rPr>
      </w:pPr>
      <w:hyperlink r:id="rId9" w:history="1">
        <w:r w:rsidR="000020CA" w:rsidRPr="004074A3">
          <w:rPr>
            <w:rStyle w:val="Hyperlink"/>
            <w:rFonts w:ascii="Arial" w:hAnsi="Arial" w:cs="Arial"/>
            <w:sz w:val="24"/>
          </w:rPr>
          <w:t>ggc.eastdunbartonshirechpprescribing@nhs.scot</w:t>
        </w:r>
      </w:hyperlink>
    </w:p>
    <w:p w:rsidR="000020CA" w:rsidRPr="004074A3" w:rsidRDefault="000020CA" w:rsidP="001E3548">
      <w:pPr>
        <w:tabs>
          <w:tab w:val="left" w:pos="1920"/>
        </w:tabs>
        <w:spacing w:after="0" w:line="240" w:lineRule="auto"/>
        <w:rPr>
          <w:rFonts w:ascii="Arial" w:hAnsi="Arial" w:cs="Arial"/>
        </w:rPr>
      </w:pPr>
    </w:p>
    <w:p w:rsidR="004074A3" w:rsidRPr="004074A3" w:rsidRDefault="004074A3" w:rsidP="001E3548">
      <w:pPr>
        <w:tabs>
          <w:tab w:val="left" w:pos="1920"/>
        </w:tabs>
        <w:spacing w:after="0" w:line="240" w:lineRule="auto"/>
        <w:rPr>
          <w:rFonts w:ascii="Arial" w:hAnsi="Arial" w:cs="Arial"/>
        </w:rPr>
      </w:pPr>
    </w:p>
    <w:p w:rsidR="000020CA" w:rsidRPr="004074A3" w:rsidRDefault="004074A3" w:rsidP="004074A3">
      <w:pPr>
        <w:tabs>
          <w:tab w:val="left" w:pos="1920"/>
        </w:tabs>
        <w:spacing w:after="0" w:line="240" w:lineRule="auto"/>
        <w:rPr>
          <w:rFonts w:ascii="Arial" w:hAnsi="Arial" w:cs="Arial"/>
        </w:rPr>
      </w:pPr>
      <w:r w:rsidRPr="004074A3">
        <w:rPr>
          <w:rFonts w:ascii="Arial" w:hAnsi="Arial" w:cs="Arial"/>
        </w:rPr>
        <w:t xml:space="preserve">* </w:t>
      </w:r>
      <w:r w:rsidR="000020CA" w:rsidRPr="004074A3">
        <w:rPr>
          <w:rFonts w:ascii="Arial" w:hAnsi="Arial" w:cs="Arial"/>
        </w:rPr>
        <w:t xml:space="preserve">Please note </w:t>
      </w:r>
      <w:r w:rsidRPr="004074A3">
        <w:rPr>
          <w:rFonts w:ascii="Arial" w:hAnsi="Arial" w:cs="Arial"/>
        </w:rPr>
        <w:t xml:space="preserve">- </w:t>
      </w:r>
      <w:r w:rsidR="000020CA" w:rsidRPr="004074A3">
        <w:rPr>
          <w:rFonts w:ascii="Arial" w:hAnsi="Arial" w:cs="Arial"/>
        </w:rPr>
        <w:t>completed SBAR should only be sent to the email address</w:t>
      </w:r>
      <w:r w:rsidRPr="004074A3">
        <w:rPr>
          <w:rFonts w:ascii="Arial" w:hAnsi="Arial" w:cs="Arial"/>
        </w:rPr>
        <w:t>es</w:t>
      </w:r>
      <w:r w:rsidR="000020CA" w:rsidRPr="004074A3">
        <w:rPr>
          <w:rFonts w:ascii="Arial" w:hAnsi="Arial" w:cs="Arial"/>
        </w:rPr>
        <w:t xml:space="preserve"> above</w:t>
      </w:r>
      <w:r w:rsidRPr="004074A3">
        <w:rPr>
          <w:rFonts w:ascii="Arial" w:hAnsi="Arial" w:cs="Arial"/>
        </w:rPr>
        <w:t>.  The Primary C</w:t>
      </w:r>
      <w:r w:rsidR="000020CA" w:rsidRPr="004074A3">
        <w:rPr>
          <w:rFonts w:ascii="Arial" w:hAnsi="Arial" w:cs="Arial"/>
        </w:rPr>
        <w:t xml:space="preserve">are </w:t>
      </w:r>
      <w:r w:rsidRPr="004074A3">
        <w:rPr>
          <w:rFonts w:ascii="Arial" w:hAnsi="Arial" w:cs="Arial"/>
        </w:rPr>
        <w:t>P</w:t>
      </w:r>
      <w:r w:rsidR="000020CA" w:rsidRPr="004074A3">
        <w:rPr>
          <w:rFonts w:ascii="Arial" w:hAnsi="Arial" w:cs="Arial"/>
        </w:rPr>
        <w:t xml:space="preserve">harmacy </w:t>
      </w:r>
      <w:r w:rsidRPr="004074A3">
        <w:rPr>
          <w:rFonts w:ascii="Arial" w:hAnsi="Arial" w:cs="Arial"/>
        </w:rPr>
        <w:t>T</w:t>
      </w:r>
      <w:r w:rsidR="000020CA" w:rsidRPr="004074A3">
        <w:rPr>
          <w:rFonts w:ascii="Arial" w:hAnsi="Arial" w:cs="Arial"/>
        </w:rPr>
        <w:t>eam</w:t>
      </w:r>
      <w:r w:rsidRPr="004074A3">
        <w:rPr>
          <w:rFonts w:ascii="Arial" w:hAnsi="Arial" w:cs="Arial"/>
        </w:rPr>
        <w:t>s</w:t>
      </w:r>
      <w:r w:rsidR="000020CA" w:rsidRPr="004074A3">
        <w:rPr>
          <w:rFonts w:ascii="Arial" w:hAnsi="Arial" w:cs="Arial"/>
        </w:rPr>
        <w:t xml:space="preserve"> will update where required on the GP systems.</w:t>
      </w:r>
    </w:p>
    <w:sectPr w:rsidR="000020CA" w:rsidRPr="004074A3" w:rsidSect="00AD7DA2">
      <w:headerReference w:type="default" r:id="rId10"/>
      <w:footerReference w:type="default" r:id="rId11"/>
      <w:pgSz w:w="11906" w:h="16838" w:code="9"/>
      <w:pgMar w:top="907" w:right="720" w:bottom="90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A2" w:rsidRDefault="00AD7DA2" w:rsidP="00AD7DA2">
      <w:pPr>
        <w:spacing w:after="0" w:line="240" w:lineRule="auto"/>
      </w:pPr>
      <w:r>
        <w:separator/>
      </w:r>
    </w:p>
  </w:endnote>
  <w:endnote w:type="continuationSeparator" w:id="0">
    <w:p w:rsidR="00AD7DA2" w:rsidRDefault="00AD7DA2" w:rsidP="00AD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4F" w:rsidRPr="00AC0A4F" w:rsidRDefault="00367ADB">
    <w:pPr>
      <w:pStyle w:val="Footer"/>
      <w:rPr>
        <w:rFonts w:ascii="Arial" w:hAnsi="Arial" w:cs="Arial"/>
        <w:sz w:val="18"/>
      </w:rPr>
    </w:pPr>
    <w:proofErr w:type="gramStart"/>
    <w:r>
      <w:rPr>
        <w:rFonts w:ascii="Arial" w:hAnsi="Arial" w:cs="Arial"/>
        <w:sz w:val="18"/>
      </w:rPr>
      <w:t>v4</w:t>
    </w:r>
    <w:proofErr w:type="gramEnd"/>
    <w:r w:rsidR="001F11F8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February</w:t>
    </w:r>
    <w:r w:rsidR="001F11F8">
      <w:rPr>
        <w:rFonts w:ascii="Arial" w:hAnsi="Arial" w:cs="Arial"/>
        <w:sz w:val="18"/>
      </w:rPr>
      <w:t xml:space="preserve"> 202</w:t>
    </w:r>
    <w:r>
      <w:rPr>
        <w:rFonts w:ascii="Arial" w:hAnsi="Arial" w:cs="Arial"/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A2" w:rsidRDefault="00AD7DA2" w:rsidP="00AD7DA2">
      <w:pPr>
        <w:spacing w:after="0" w:line="240" w:lineRule="auto"/>
      </w:pPr>
      <w:r>
        <w:separator/>
      </w:r>
    </w:p>
  </w:footnote>
  <w:footnote w:type="continuationSeparator" w:id="0">
    <w:p w:rsidR="00AD7DA2" w:rsidRDefault="00AD7DA2" w:rsidP="00AD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A2" w:rsidRPr="00AD7DA2" w:rsidRDefault="00AD7DA2">
    <w:pPr>
      <w:pStyle w:val="Header"/>
      <w:rPr>
        <w:rFonts w:ascii="Arial" w:hAnsi="Arial" w:cs="Arial"/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6020435</wp:posOffset>
          </wp:positionH>
          <wp:positionV relativeFrom="paragraph">
            <wp:posOffset>3175</wp:posOffset>
          </wp:positionV>
          <wp:extent cx="621665" cy="621665"/>
          <wp:effectExtent l="0" t="0" r="6985" b="6985"/>
          <wp:wrapNone/>
          <wp:docPr id="2" name="Picture 1" descr="cid:4a252752-b4fd-47a3-9d9a-ac7ecd77c45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a252752-b4fd-47a3-9d9a-ac7ecd77c45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</w:rPr>
      <w:t xml:space="preserve">Medicines Reconciliation &amp; Supply Project </w:t>
    </w:r>
    <w:r w:rsidR="001F11F8">
      <w:rPr>
        <w:rFonts w:ascii="Arial" w:hAnsi="Arial" w:cs="Arial"/>
        <w:sz w:val="32"/>
      </w:rPr>
      <w:t xml:space="preserve">- </w:t>
    </w:r>
    <w:r>
      <w:rPr>
        <w:rFonts w:ascii="Arial" w:hAnsi="Arial" w:cs="Arial"/>
        <w:sz w:val="32"/>
      </w:rPr>
      <w:t>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2A64"/>
    <w:multiLevelType w:val="hybridMultilevel"/>
    <w:tmpl w:val="1C3A5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B7EB4"/>
    <w:multiLevelType w:val="hybridMultilevel"/>
    <w:tmpl w:val="B642859C"/>
    <w:lvl w:ilvl="0" w:tplc="6A743F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62348"/>
    <w:multiLevelType w:val="hybridMultilevel"/>
    <w:tmpl w:val="ED685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6023D"/>
    <w:multiLevelType w:val="hybridMultilevel"/>
    <w:tmpl w:val="C1021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CA"/>
    <w:rsid w:val="000020CA"/>
    <w:rsid w:val="001E3548"/>
    <w:rsid w:val="001F11F8"/>
    <w:rsid w:val="00367ADB"/>
    <w:rsid w:val="004074A3"/>
    <w:rsid w:val="008E390B"/>
    <w:rsid w:val="00AC0A4F"/>
    <w:rsid w:val="00AD7DA2"/>
    <w:rsid w:val="00D44C1C"/>
    <w:rsid w:val="00D4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2882C3F-E33D-42D8-8422-BC4C36F2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0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0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0C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020C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020C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020C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020CA"/>
    <w:pPr>
      <w:ind w:left="720"/>
    </w:pPr>
  </w:style>
  <w:style w:type="character" w:styleId="Hyperlink">
    <w:name w:val="Hyperlink"/>
    <w:uiPriority w:val="99"/>
    <w:unhideWhenUsed/>
    <w:rsid w:val="000020C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D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7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DA2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E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c.nwpcpharmacy@ggc.scot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armacyHubNE@ggc.scot.nh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gc.eastdunbartonshirechpprescribing@nhs.sco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a252752-b4fd-47a3-9d9a-ac7ecd77c45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1860</CharactersWithSpaces>
  <SharedDoc>false</SharedDoc>
  <HLinks>
    <vt:vector size="6" baseType="variant">
      <vt:variant>
        <vt:i4>6684699</vt:i4>
      </vt:variant>
      <vt:variant>
        <vt:i4>0</vt:i4>
      </vt:variant>
      <vt:variant>
        <vt:i4>0</vt:i4>
      </vt:variant>
      <vt:variant>
        <vt:i4>5</vt:i4>
      </vt:variant>
      <vt:variant>
        <vt:lpwstr>mailto:ggc.eastdunbartonshirechpprescribing@nhs.scot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Jamieson</dc:creator>
  <cp:keywords/>
  <dc:description/>
  <cp:lastModifiedBy>McCallum, Bridie</cp:lastModifiedBy>
  <cp:revision>2</cp:revision>
  <dcterms:created xsi:type="dcterms:W3CDTF">2024-02-20T10:16:00Z</dcterms:created>
  <dcterms:modified xsi:type="dcterms:W3CDTF">2024-02-20T10:16:00Z</dcterms:modified>
</cp:coreProperties>
</file>