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r>
        <w:rPr>
          <w:rFonts w:ascii="Times New Roman"/>
          <w:b/>
          <w:noProof/>
          <w:lang w:bidi="ar-SA"/>
        </w:rPr>
        <w:drawing>
          <wp:anchor distT="0" distB="0" distL="0" distR="0" simplePos="0" relativeHeight="251659264" behindDoc="0" locked="0" layoutInCell="1" allowOverlap="1">
            <wp:simplePos x="0" y="0"/>
            <wp:positionH relativeFrom="page">
              <wp:posOffset>5924550</wp:posOffset>
            </wp:positionH>
            <wp:positionV relativeFrom="paragraph">
              <wp:posOffset>249555</wp:posOffset>
            </wp:positionV>
            <wp:extent cx="1285875" cy="108585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5875" cy="1085850"/>
                    </a:xfrm>
                    <a:prstGeom prst="rect">
                      <a:avLst/>
                    </a:prstGeom>
                  </pic:spPr>
                </pic:pic>
              </a:graphicData>
            </a:graphic>
          </wp:anchor>
        </w:drawing>
      </w: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center"/>
        <w:rPr>
          <w:b/>
          <w:sz w:val="36"/>
          <w:szCs w:val="36"/>
        </w:rPr>
      </w:pPr>
      <w:r>
        <w:rPr>
          <w:b/>
          <w:sz w:val="36"/>
          <w:szCs w:val="36"/>
        </w:rPr>
        <w:t>PRIMARY CARE COMMUNITY PHARMACY</w:t>
      </w:r>
    </w:p>
    <w:p w:rsidR="00C54993" w:rsidRDefault="00C54993" w:rsidP="00C54993">
      <w:pPr>
        <w:tabs>
          <w:tab w:val="left" w:pos="720"/>
        </w:tabs>
        <w:jc w:val="center"/>
        <w:rPr>
          <w:rFonts w:eastAsia="Times New Roman"/>
        </w:rPr>
      </w:pPr>
    </w:p>
    <w:p w:rsidR="00C54993" w:rsidRDefault="00C54993" w:rsidP="00C54993">
      <w:pPr>
        <w:jc w:val="center"/>
        <w:rPr>
          <w:rFonts w:eastAsia="Times New Roman"/>
          <w:sz w:val="36"/>
          <w:szCs w:val="36"/>
        </w:rPr>
      </w:pPr>
    </w:p>
    <w:p w:rsidR="00C54993" w:rsidRDefault="00C54993" w:rsidP="00C54993">
      <w:pPr>
        <w:jc w:val="center"/>
        <w:rPr>
          <w:b/>
          <w:sz w:val="36"/>
          <w:szCs w:val="36"/>
        </w:rPr>
      </w:pPr>
      <w:r>
        <w:rPr>
          <w:b/>
          <w:sz w:val="36"/>
          <w:szCs w:val="36"/>
        </w:rPr>
        <w:t>LOCAL PHARMACY SPECIFICATIONS</w:t>
      </w:r>
    </w:p>
    <w:p w:rsidR="00C54993" w:rsidRDefault="00C54993" w:rsidP="00C54993">
      <w:pPr>
        <w:tabs>
          <w:tab w:val="left" w:pos="2490"/>
        </w:tabs>
        <w:jc w:val="both"/>
        <w:rPr>
          <w:b/>
          <w:sz w:val="36"/>
          <w:szCs w:val="36"/>
        </w:rPr>
      </w:pPr>
    </w:p>
    <w:p w:rsidR="00C54993" w:rsidRDefault="00C54993" w:rsidP="00C54993">
      <w:pPr>
        <w:tabs>
          <w:tab w:val="left" w:pos="720"/>
        </w:tabs>
        <w:jc w:val="center"/>
        <w:rPr>
          <w:b/>
          <w:caps/>
          <w:w w:val="95"/>
          <w:sz w:val="36"/>
          <w:szCs w:val="36"/>
        </w:rPr>
      </w:pPr>
    </w:p>
    <w:p w:rsidR="00C54993" w:rsidRDefault="00C54993" w:rsidP="00C54993">
      <w:pPr>
        <w:tabs>
          <w:tab w:val="left" w:pos="720"/>
        </w:tabs>
        <w:jc w:val="center"/>
        <w:rPr>
          <w:rFonts w:ascii="Times New Roman"/>
          <w:b/>
        </w:rPr>
      </w:pPr>
      <w:r>
        <w:rPr>
          <w:b/>
          <w:sz w:val="36"/>
          <w:szCs w:val="36"/>
        </w:rPr>
        <w:t xml:space="preserve">SPECIFICATION FOR FREE INJECTING EQUIPMENT </w:t>
      </w: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C54993" w:rsidRDefault="00C54993" w:rsidP="00C54993">
      <w:pPr>
        <w:tabs>
          <w:tab w:val="left" w:pos="720"/>
        </w:tabs>
        <w:jc w:val="both"/>
        <w:rPr>
          <w:rFonts w:ascii="Times New Roman"/>
          <w:b/>
        </w:rPr>
      </w:pPr>
    </w:p>
    <w:p w:rsidR="00B5407A" w:rsidRDefault="00B5407A" w:rsidP="00C54993">
      <w:pPr>
        <w:tabs>
          <w:tab w:val="left" w:pos="720"/>
        </w:tabs>
        <w:jc w:val="center"/>
        <w:rPr>
          <w:rFonts w:asciiTheme="minorHAnsi" w:eastAsia="Times New Roman" w:hAnsiTheme="minorHAnsi"/>
          <w:b/>
          <w:sz w:val="24"/>
          <w:u w:val="single"/>
        </w:rPr>
      </w:pPr>
    </w:p>
    <w:p w:rsidR="00B5407A" w:rsidRDefault="00B5407A" w:rsidP="00C54993">
      <w:pPr>
        <w:tabs>
          <w:tab w:val="left" w:pos="720"/>
        </w:tabs>
        <w:jc w:val="center"/>
        <w:rPr>
          <w:rFonts w:asciiTheme="minorHAnsi" w:eastAsia="Times New Roman" w:hAnsiTheme="minorHAnsi"/>
          <w:b/>
          <w:sz w:val="24"/>
          <w:u w:val="single"/>
        </w:rPr>
      </w:pPr>
    </w:p>
    <w:p w:rsidR="00B5407A" w:rsidRDefault="00B5407A" w:rsidP="00C54993">
      <w:pPr>
        <w:tabs>
          <w:tab w:val="left" w:pos="720"/>
        </w:tabs>
        <w:jc w:val="center"/>
        <w:rPr>
          <w:rFonts w:asciiTheme="minorHAnsi" w:eastAsia="Times New Roman" w:hAnsiTheme="minorHAnsi"/>
          <w:b/>
          <w:sz w:val="24"/>
          <w:u w:val="single"/>
        </w:rPr>
      </w:pPr>
    </w:p>
    <w:p w:rsidR="00C54993" w:rsidRPr="00C54993" w:rsidRDefault="00C54993" w:rsidP="00C54993">
      <w:pPr>
        <w:tabs>
          <w:tab w:val="left" w:pos="720"/>
        </w:tabs>
        <w:jc w:val="center"/>
        <w:rPr>
          <w:rFonts w:asciiTheme="minorHAnsi" w:eastAsia="Times New Roman" w:hAnsiTheme="minorHAnsi"/>
          <w:sz w:val="24"/>
        </w:rPr>
      </w:pPr>
      <w:r w:rsidRPr="00C54993">
        <w:rPr>
          <w:rFonts w:asciiTheme="minorHAnsi" w:eastAsia="Times New Roman" w:hAnsiTheme="minorHAnsi"/>
          <w:b/>
          <w:sz w:val="24"/>
          <w:u w:val="single"/>
        </w:rPr>
        <w:t>Document Control Sheet</w:t>
      </w:r>
    </w:p>
    <w:p w:rsidR="00C54993" w:rsidRPr="00C54993" w:rsidRDefault="00C54993" w:rsidP="00C54993">
      <w:pPr>
        <w:jc w:val="both"/>
        <w:rPr>
          <w:rFonts w:asciiTheme="minorHAnsi" w:eastAsia="Times New Roman" w:hAnsiTheme="minorHAnsi"/>
          <w:b/>
          <w:sz w:val="24"/>
          <w:u w:val="single"/>
        </w:rPr>
      </w:pP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384"/>
      </w:tblGrid>
      <w:tr w:rsidR="00C54993" w:rsidRPr="00357FEB" w:rsidTr="003050C8">
        <w:trPr>
          <w:trHeight w:val="518"/>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color w:val="000000"/>
                <w:sz w:val="24"/>
              </w:rPr>
            </w:pPr>
            <w:r w:rsidRPr="00357FEB">
              <w:rPr>
                <w:rFonts w:eastAsia="Times New Roman"/>
                <w:color w:val="000000"/>
                <w:sz w:val="24"/>
              </w:rPr>
              <w:t>Title:</w:t>
            </w:r>
          </w:p>
        </w:tc>
        <w:tc>
          <w:tcPr>
            <w:tcW w:w="7384" w:type="dxa"/>
            <w:tcBorders>
              <w:top w:val="single" w:sz="4" w:space="0" w:color="auto"/>
              <w:left w:val="single" w:sz="4" w:space="0" w:color="auto"/>
              <w:bottom w:val="single" w:sz="4" w:space="0" w:color="auto"/>
              <w:right w:val="single" w:sz="4" w:space="0" w:color="auto"/>
            </w:tcBorders>
            <w:vAlign w:val="center"/>
          </w:tcPr>
          <w:p w:rsidR="00C54993" w:rsidRPr="00357FEB" w:rsidRDefault="00C54993" w:rsidP="00F6312C">
            <w:pPr>
              <w:tabs>
                <w:tab w:val="left" w:pos="2490"/>
              </w:tabs>
              <w:rPr>
                <w:sz w:val="24"/>
              </w:rPr>
            </w:pPr>
          </w:p>
          <w:p w:rsidR="00C54993" w:rsidRPr="00357FEB" w:rsidRDefault="00C54993" w:rsidP="003050C8">
            <w:pPr>
              <w:tabs>
                <w:tab w:val="left" w:pos="2490"/>
              </w:tabs>
              <w:rPr>
                <w:sz w:val="24"/>
              </w:rPr>
            </w:pPr>
            <w:r w:rsidRPr="00357FEB">
              <w:rPr>
                <w:sz w:val="24"/>
              </w:rPr>
              <w:t xml:space="preserve"> Specification for Free Injecting Equipment </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color w:val="000000"/>
                <w:sz w:val="24"/>
              </w:rPr>
            </w:pPr>
            <w:r w:rsidRPr="00357FEB">
              <w:rPr>
                <w:rFonts w:eastAsia="Times New Roman"/>
                <w:color w:val="000000"/>
                <w:sz w:val="24"/>
              </w:rPr>
              <w:t>Document Status:</w:t>
            </w:r>
          </w:p>
        </w:tc>
        <w:tc>
          <w:tcPr>
            <w:tcW w:w="7384" w:type="dxa"/>
            <w:tcBorders>
              <w:top w:val="single" w:sz="4" w:space="0" w:color="auto"/>
              <w:left w:val="single" w:sz="4" w:space="0" w:color="auto"/>
              <w:bottom w:val="single" w:sz="4" w:space="0" w:color="auto"/>
              <w:right w:val="single" w:sz="4" w:space="0" w:color="auto"/>
            </w:tcBorders>
            <w:vAlign w:val="center"/>
            <w:hideMark/>
          </w:tcPr>
          <w:p w:rsidR="00C54993" w:rsidRPr="00357FEB" w:rsidRDefault="002368C6" w:rsidP="00F6312C">
            <w:pPr>
              <w:keepNext/>
              <w:keepLines/>
              <w:jc w:val="both"/>
              <w:outlineLvl w:val="5"/>
              <w:rPr>
                <w:rFonts w:eastAsia="Times New Roman"/>
                <w:iCs/>
                <w:sz w:val="24"/>
              </w:rPr>
            </w:pPr>
            <w:r>
              <w:rPr>
                <w:rFonts w:eastAsia="Times New Roman"/>
                <w:iCs/>
                <w:sz w:val="24"/>
              </w:rPr>
              <w:t>FINAL</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color w:val="000000"/>
                <w:sz w:val="24"/>
              </w:rPr>
            </w:pPr>
            <w:r w:rsidRPr="00357FEB">
              <w:rPr>
                <w:rFonts w:eastAsia="Times New Roman"/>
                <w:color w:val="000000"/>
                <w:sz w:val="24"/>
              </w:rPr>
              <w:t xml:space="preserve">Document Type: </w:t>
            </w:r>
          </w:p>
        </w:tc>
        <w:tc>
          <w:tcPr>
            <w:tcW w:w="7384" w:type="dxa"/>
            <w:tcBorders>
              <w:top w:val="single" w:sz="4" w:space="0" w:color="auto"/>
              <w:left w:val="single" w:sz="4" w:space="0" w:color="auto"/>
              <w:bottom w:val="single" w:sz="4" w:space="0" w:color="auto"/>
              <w:right w:val="single" w:sz="4" w:space="0" w:color="auto"/>
            </w:tcBorders>
            <w:vAlign w:val="center"/>
            <w:hideMark/>
          </w:tcPr>
          <w:p w:rsidR="00C54993" w:rsidRPr="00357FEB" w:rsidRDefault="00C54993" w:rsidP="00F6312C">
            <w:pPr>
              <w:keepNext/>
              <w:keepLines/>
              <w:jc w:val="both"/>
              <w:outlineLvl w:val="5"/>
              <w:rPr>
                <w:rFonts w:eastAsia="Times New Roman"/>
                <w:iCs/>
                <w:sz w:val="24"/>
              </w:rPr>
            </w:pPr>
            <w:r w:rsidRPr="00357FEB">
              <w:rPr>
                <w:rFonts w:eastAsia="Times New Roman"/>
                <w:iCs/>
                <w:sz w:val="24"/>
              </w:rPr>
              <w:t>Guidance</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color w:val="000000"/>
                <w:sz w:val="24"/>
              </w:rPr>
            </w:pPr>
            <w:r w:rsidRPr="00357FEB">
              <w:rPr>
                <w:rFonts w:eastAsia="Times New Roman"/>
                <w:color w:val="000000"/>
                <w:sz w:val="24"/>
              </w:rPr>
              <w:t>Version Number:</w:t>
            </w:r>
          </w:p>
        </w:tc>
        <w:tc>
          <w:tcPr>
            <w:tcW w:w="7384" w:type="dxa"/>
            <w:tcBorders>
              <w:top w:val="single" w:sz="4" w:space="0" w:color="auto"/>
              <w:left w:val="single" w:sz="4" w:space="0" w:color="auto"/>
              <w:bottom w:val="single" w:sz="4" w:space="0" w:color="auto"/>
              <w:right w:val="single" w:sz="4" w:space="0" w:color="auto"/>
            </w:tcBorders>
            <w:vAlign w:val="center"/>
            <w:hideMark/>
          </w:tcPr>
          <w:p w:rsidR="00C54993" w:rsidRPr="00357FEB" w:rsidRDefault="002368C6" w:rsidP="006063FB">
            <w:pPr>
              <w:keepNext/>
              <w:keepLines/>
              <w:jc w:val="both"/>
              <w:outlineLvl w:val="5"/>
              <w:rPr>
                <w:rFonts w:eastAsia="Times New Roman"/>
                <w:iCs/>
                <w:sz w:val="24"/>
              </w:rPr>
            </w:pPr>
            <w:r>
              <w:rPr>
                <w:rFonts w:eastAsia="Times New Roman"/>
                <w:iCs/>
                <w:sz w:val="24"/>
              </w:rPr>
              <w:t>V5.0</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sz w:val="24"/>
              </w:rPr>
            </w:pPr>
            <w:r w:rsidRPr="00357FEB">
              <w:rPr>
                <w:rFonts w:eastAsia="Times New Roman"/>
                <w:sz w:val="24"/>
              </w:rPr>
              <w:t>Document location:</w:t>
            </w:r>
          </w:p>
        </w:tc>
        <w:tc>
          <w:tcPr>
            <w:tcW w:w="7384" w:type="dxa"/>
            <w:tcBorders>
              <w:top w:val="single" w:sz="4" w:space="0" w:color="auto"/>
              <w:left w:val="single" w:sz="4" w:space="0" w:color="auto"/>
              <w:bottom w:val="single" w:sz="4" w:space="0" w:color="auto"/>
              <w:right w:val="single" w:sz="4" w:space="0" w:color="auto"/>
            </w:tcBorders>
          </w:tcPr>
          <w:p w:rsidR="00C54993" w:rsidRPr="00357FEB" w:rsidRDefault="00C54993" w:rsidP="00F6312C">
            <w:pPr>
              <w:jc w:val="both"/>
              <w:rPr>
                <w:rFonts w:eastAsia="Times New Roman"/>
                <w:iCs/>
                <w:sz w:val="24"/>
              </w:rPr>
            </w:pPr>
          </w:p>
          <w:p w:rsidR="00C54993" w:rsidRPr="00357FEB" w:rsidRDefault="00C54993" w:rsidP="00F6312C">
            <w:pPr>
              <w:jc w:val="both"/>
              <w:rPr>
                <w:sz w:val="24"/>
              </w:rPr>
            </w:pPr>
            <w:r w:rsidRPr="00357FEB">
              <w:rPr>
                <w:rFonts w:eastAsia="Times New Roman"/>
                <w:iCs/>
                <w:sz w:val="24"/>
              </w:rPr>
              <w:t xml:space="preserve">Joint Pharmacy Drive  </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sz w:val="24"/>
              </w:rPr>
            </w:pPr>
            <w:r w:rsidRPr="00357FEB">
              <w:rPr>
                <w:rFonts w:eastAsia="Times New Roman"/>
                <w:sz w:val="24"/>
              </w:rPr>
              <w:t xml:space="preserve">Author: </w:t>
            </w:r>
          </w:p>
        </w:tc>
        <w:tc>
          <w:tcPr>
            <w:tcW w:w="7384" w:type="dxa"/>
            <w:tcBorders>
              <w:top w:val="single" w:sz="4" w:space="0" w:color="auto"/>
              <w:left w:val="single" w:sz="4" w:space="0" w:color="auto"/>
              <w:bottom w:val="single" w:sz="4" w:space="0" w:color="auto"/>
              <w:right w:val="single" w:sz="4" w:space="0" w:color="auto"/>
            </w:tcBorders>
          </w:tcPr>
          <w:p w:rsidR="00C54993" w:rsidRPr="00357FEB" w:rsidRDefault="00C54993" w:rsidP="00F6312C">
            <w:pPr>
              <w:jc w:val="both"/>
              <w:rPr>
                <w:rFonts w:eastAsia="Times New Roman"/>
                <w:iCs/>
                <w:sz w:val="24"/>
              </w:rPr>
            </w:pPr>
          </w:p>
          <w:p w:rsidR="00C54993" w:rsidRPr="00357FEB" w:rsidRDefault="00C54993" w:rsidP="00C54993">
            <w:pPr>
              <w:jc w:val="both"/>
              <w:rPr>
                <w:sz w:val="24"/>
              </w:rPr>
            </w:pPr>
            <w:r w:rsidRPr="00357FEB">
              <w:rPr>
                <w:rFonts w:eastAsia="Times New Roman"/>
                <w:iCs/>
                <w:sz w:val="24"/>
              </w:rPr>
              <w:t xml:space="preserve">Anne Shaw, Allan Thomas, Alexander Adam </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sz w:val="24"/>
              </w:rPr>
            </w:pPr>
            <w:r w:rsidRPr="00357FEB">
              <w:rPr>
                <w:rFonts w:eastAsia="Times New Roman"/>
                <w:sz w:val="24"/>
              </w:rPr>
              <w:t>Owner:</w:t>
            </w:r>
          </w:p>
        </w:tc>
        <w:tc>
          <w:tcPr>
            <w:tcW w:w="7384" w:type="dxa"/>
            <w:tcBorders>
              <w:top w:val="single" w:sz="4" w:space="0" w:color="auto"/>
              <w:left w:val="single" w:sz="4" w:space="0" w:color="auto"/>
              <w:bottom w:val="single" w:sz="4" w:space="0" w:color="auto"/>
              <w:right w:val="single" w:sz="4" w:space="0" w:color="auto"/>
            </w:tcBorders>
          </w:tcPr>
          <w:p w:rsidR="00C54993" w:rsidRPr="00357FEB" w:rsidRDefault="00C54993" w:rsidP="00F6312C">
            <w:pPr>
              <w:jc w:val="both"/>
              <w:rPr>
                <w:sz w:val="24"/>
              </w:rPr>
            </w:pPr>
          </w:p>
          <w:p w:rsidR="00C54993" w:rsidRPr="00357FEB" w:rsidRDefault="00C54993" w:rsidP="00F6312C">
            <w:pPr>
              <w:jc w:val="both"/>
              <w:rPr>
                <w:sz w:val="24"/>
              </w:rPr>
            </w:pPr>
            <w:r w:rsidRPr="00357FEB">
              <w:rPr>
                <w:sz w:val="24"/>
              </w:rPr>
              <w:t>Anne Shaw</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sz w:val="24"/>
              </w:rPr>
            </w:pPr>
            <w:r w:rsidRPr="00357FEB">
              <w:rPr>
                <w:rFonts w:eastAsia="Times New Roman"/>
                <w:sz w:val="24"/>
              </w:rPr>
              <w:t>Approved By:</w:t>
            </w:r>
          </w:p>
        </w:tc>
        <w:tc>
          <w:tcPr>
            <w:tcW w:w="7384" w:type="dxa"/>
            <w:tcBorders>
              <w:top w:val="single" w:sz="4" w:space="0" w:color="auto"/>
              <w:left w:val="single" w:sz="4" w:space="0" w:color="auto"/>
              <w:bottom w:val="single" w:sz="4" w:space="0" w:color="auto"/>
              <w:right w:val="single" w:sz="4" w:space="0" w:color="auto"/>
            </w:tcBorders>
          </w:tcPr>
          <w:p w:rsidR="00C54993" w:rsidRPr="00357FEB" w:rsidRDefault="00C54993" w:rsidP="00F6312C">
            <w:pPr>
              <w:jc w:val="both"/>
              <w:rPr>
                <w:rFonts w:eastAsia="Times New Roman"/>
                <w:iCs/>
                <w:sz w:val="24"/>
              </w:rPr>
            </w:pPr>
          </w:p>
          <w:p w:rsidR="00C54993" w:rsidRPr="00357FEB" w:rsidRDefault="00C54993" w:rsidP="00F6312C">
            <w:pPr>
              <w:jc w:val="both"/>
              <w:rPr>
                <w:sz w:val="24"/>
              </w:rPr>
            </w:pPr>
            <w:r w:rsidRPr="00357FEB">
              <w:rPr>
                <w:rFonts w:eastAsia="Times New Roman"/>
                <w:iCs/>
                <w:sz w:val="24"/>
              </w:rPr>
              <w:t xml:space="preserve">Joint Pharmacy Team  </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806FBC">
            <w:pPr>
              <w:rPr>
                <w:rFonts w:eastAsia="Times New Roman"/>
                <w:sz w:val="24"/>
              </w:rPr>
            </w:pPr>
            <w:r w:rsidRPr="00357FEB">
              <w:rPr>
                <w:rFonts w:eastAsia="Times New Roman"/>
                <w:sz w:val="24"/>
              </w:rPr>
              <w:t>Date Effective From:</w:t>
            </w:r>
          </w:p>
        </w:tc>
        <w:tc>
          <w:tcPr>
            <w:tcW w:w="7384" w:type="dxa"/>
            <w:tcBorders>
              <w:top w:val="single" w:sz="4" w:space="0" w:color="auto"/>
              <w:left w:val="single" w:sz="4" w:space="0" w:color="auto"/>
              <w:bottom w:val="single" w:sz="4" w:space="0" w:color="auto"/>
              <w:right w:val="single" w:sz="4" w:space="0" w:color="auto"/>
            </w:tcBorders>
            <w:vAlign w:val="center"/>
          </w:tcPr>
          <w:p w:rsidR="00C54993" w:rsidRPr="00357FEB" w:rsidRDefault="002368C6" w:rsidP="00F6312C">
            <w:pPr>
              <w:keepNext/>
              <w:keepLines/>
              <w:jc w:val="both"/>
              <w:outlineLvl w:val="5"/>
              <w:rPr>
                <w:rFonts w:eastAsia="Times New Roman"/>
                <w:iCs/>
                <w:sz w:val="24"/>
              </w:rPr>
            </w:pPr>
            <w:r>
              <w:rPr>
                <w:rFonts w:eastAsia="Times New Roman"/>
                <w:iCs/>
                <w:sz w:val="24"/>
              </w:rPr>
              <w:t>28.05.2024</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sz w:val="24"/>
              </w:rPr>
            </w:pPr>
            <w:r w:rsidRPr="00357FEB">
              <w:rPr>
                <w:rFonts w:eastAsia="Times New Roman"/>
                <w:sz w:val="24"/>
              </w:rPr>
              <w:t>Review Frequency:</w:t>
            </w:r>
          </w:p>
        </w:tc>
        <w:tc>
          <w:tcPr>
            <w:tcW w:w="7384" w:type="dxa"/>
            <w:tcBorders>
              <w:top w:val="single" w:sz="4" w:space="0" w:color="auto"/>
              <w:left w:val="single" w:sz="4" w:space="0" w:color="auto"/>
              <w:bottom w:val="single" w:sz="4" w:space="0" w:color="auto"/>
              <w:right w:val="single" w:sz="4" w:space="0" w:color="auto"/>
            </w:tcBorders>
            <w:vAlign w:val="center"/>
            <w:hideMark/>
          </w:tcPr>
          <w:p w:rsidR="00C54993" w:rsidRPr="00357FEB" w:rsidRDefault="00C54993" w:rsidP="00F6312C">
            <w:pPr>
              <w:keepNext/>
              <w:keepLines/>
              <w:jc w:val="both"/>
              <w:outlineLvl w:val="5"/>
              <w:rPr>
                <w:rFonts w:eastAsia="Times New Roman"/>
                <w:iCs/>
                <w:sz w:val="24"/>
              </w:rPr>
            </w:pPr>
            <w:r w:rsidRPr="00357FEB">
              <w:rPr>
                <w:rFonts w:eastAsia="Times New Roman"/>
                <w:iCs/>
                <w:sz w:val="24"/>
              </w:rPr>
              <w:t xml:space="preserve">Annually </w:t>
            </w:r>
          </w:p>
        </w:tc>
      </w:tr>
      <w:tr w:rsidR="00C54993" w:rsidRPr="00357FEB" w:rsidTr="003050C8">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4993" w:rsidRPr="00357FEB" w:rsidRDefault="00C54993" w:rsidP="00F6312C">
            <w:pPr>
              <w:jc w:val="both"/>
              <w:rPr>
                <w:rFonts w:eastAsia="Times New Roman"/>
                <w:sz w:val="24"/>
              </w:rPr>
            </w:pPr>
            <w:r w:rsidRPr="00357FEB">
              <w:rPr>
                <w:rFonts w:eastAsia="Times New Roman"/>
                <w:sz w:val="24"/>
              </w:rPr>
              <w:t>Next Review Date:</w:t>
            </w:r>
          </w:p>
        </w:tc>
        <w:tc>
          <w:tcPr>
            <w:tcW w:w="7384" w:type="dxa"/>
            <w:tcBorders>
              <w:top w:val="single" w:sz="4" w:space="0" w:color="auto"/>
              <w:left w:val="single" w:sz="4" w:space="0" w:color="auto"/>
              <w:bottom w:val="single" w:sz="4" w:space="0" w:color="auto"/>
              <w:right w:val="single" w:sz="4" w:space="0" w:color="auto"/>
            </w:tcBorders>
            <w:vAlign w:val="center"/>
            <w:hideMark/>
          </w:tcPr>
          <w:p w:rsidR="00C54993" w:rsidRPr="00357FEB" w:rsidRDefault="00DD281E" w:rsidP="00111190">
            <w:pPr>
              <w:keepNext/>
              <w:keepLines/>
              <w:jc w:val="both"/>
              <w:outlineLvl w:val="5"/>
              <w:rPr>
                <w:rFonts w:eastAsia="Times New Roman"/>
                <w:iCs/>
                <w:sz w:val="24"/>
              </w:rPr>
            </w:pPr>
            <w:r w:rsidRPr="00357FEB">
              <w:rPr>
                <w:rFonts w:eastAsia="Times New Roman"/>
                <w:iCs/>
                <w:sz w:val="24"/>
              </w:rPr>
              <w:t>Feb 202</w:t>
            </w:r>
            <w:r w:rsidR="008A586E" w:rsidRPr="00357FEB">
              <w:rPr>
                <w:rFonts w:eastAsia="Times New Roman"/>
                <w:iCs/>
                <w:sz w:val="24"/>
              </w:rPr>
              <w:t>5</w:t>
            </w:r>
          </w:p>
        </w:tc>
      </w:tr>
    </w:tbl>
    <w:p w:rsidR="00C54993" w:rsidRPr="00357FEB" w:rsidRDefault="00C54993"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343F34" w:rsidRPr="00357FEB" w:rsidRDefault="00343F34" w:rsidP="00C54993">
      <w:pPr>
        <w:jc w:val="both"/>
        <w:rPr>
          <w:rFonts w:eastAsia="Times New Roman"/>
          <w:sz w:val="24"/>
        </w:rPr>
      </w:pPr>
    </w:p>
    <w:p w:rsidR="00C54993" w:rsidRPr="00357FEB" w:rsidRDefault="00C54993" w:rsidP="00C54993">
      <w:pPr>
        <w:jc w:val="both"/>
        <w:rPr>
          <w:rFonts w:eastAsia="Times New Roman"/>
          <w:b/>
          <w:sz w:val="24"/>
        </w:rPr>
      </w:pPr>
      <w:r w:rsidRPr="00357FEB">
        <w:rPr>
          <w:rFonts w:eastAsia="Times New Roman"/>
          <w:b/>
          <w:sz w:val="24"/>
        </w:rPr>
        <w:t>Revision History:</w:t>
      </w: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16"/>
        <w:gridCol w:w="4533"/>
        <w:gridCol w:w="2547"/>
      </w:tblGrid>
      <w:tr w:rsidR="00C54993" w:rsidRPr="00357FEB" w:rsidTr="00357FEB">
        <w:tc>
          <w:tcPr>
            <w:tcW w:w="1100"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Version:</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Date:</w:t>
            </w:r>
          </w:p>
        </w:tc>
        <w:tc>
          <w:tcPr>
            <w:tcW w:w="4533"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Summary of Changes:</w:t>
            </w:r>
          </w:p>
        </w:tc>
        <w:tc>
          <w:tcPr>
            <w:tcW w:w="2547"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Responsible Officer:</w:t>
            </w:r>
          </w:p>
        </w:tc>
      </w:tr>
      <w:tr w:rsidR="00C54993" w:rsidRPr="00357FEB" w:rsidTr="00357FEB">
        <w:tc>
          <w:tcPr>
            <w:tcW w:w="1100" w:type="dxa"/>
            <w:tcBorders>
              <w:top w:val="single" w:sz="4" w:space="0" w:color="auto"/>
              <w:left w:val="single" w:sz="4" w:space="0" w:color="auto"/>
              <w:bottom w:val="single" w:sz="4" w:space="0" w:color="auto"/>
              <w:right w:val="single" w:sz="4" w:space="0" w:color="auto"/>
            </w:tcBorders>
            <w:hideMark/>
          </w:tcPr>
          <w:p w:rsidR="00C54993" w:rsidRPr="00357FEB" w:rsidRDefault="00C54993" w:rsidP="00F6312C">
            <w:pPr>
              <w:jc w:val="both"/>
              <w:rPr>
                <w:sz w:val="24"/>
              </w:rPr>
            </w:pPr>
            <w:r w:rsidRPr="00357FEB">
              <w:rPr>
                <w:sz w:val="24"/>
              </w:rPr>
              <w:t>V0.1</w:t>
            </w:r>
          </w:p>
        </w:tc>
        <w:tc>
          <w:tcPr>
            <w:tcW w:w="1416" w:type="dxa"/>
            <w:tcBorders>
              <w:top w:val="single" w:sz="4" w:space="0" w:color="auto"/>
              <w:left w:val="single" w:sz="4" w:space="0" w:color="auto"/>
              <w:bottom w:val="single" w:sz="4" w:space="0" w:color="auto"/>
              <w:right w:val="single" w:sz="4" w:space="0" w:color="auto"/>
            </w:tcBorders>
            <w:hideMark/>
          </w:tcPr>
          <w:p w:rsidR="00C54993" w:rsidRPr="00357FEB" w:rsidRDefault="00C54993" w:rsidP="00F6312C">
            <w:pPr>
              <w:jc w:val="both"/>
              <w:rPr>
                <w:sz w:val="24"/>
              </w:rPr>
            </w:pPr>
            <w:r w:rsidRPr="00357FEB">
              <w:rPr>
                <w:sz w:val="24"/>
              </w:rPr>
              <w:t>Sept 2020</w:t>
            </w:r>
          </w:p>
        </w:tc>
        <w:tc>
          <w:tcPr>
            <w:tcW w:w="4533" w:type="dxa"/>
            <w:tcBorders>
              <w:top w:val="single" w:sz="4" w:space="0" w:color="auto"/>
              <w:left w:val="single" w:sz="4" w:space="0" w:color="auto"/>
              <w:bottom w:val="single" w:sz="4" w:space="0" w:color="auto"/>
              <w:right w:val="single" w:sz="4" w:space="0" w:color="auto"/>
            </w:tcBorders>
            <w:hideMark/>
          </w:tcPr>
          <w:p w:rsidR="00C54993" w:rsidRPr="00357FEB" w:rsidRDefault="00C54993" w:rsidP="00F6312C">
            <w:pPr>
              <w:jc w:val="both"/>
              <w:rPr>
                <w:sz w:val="24"/>
              </w:rPr>
            </w:pPr>
            <w:r w:rsidRPr="00357FEB">
              <w:rPr>
                <w:sz w:val="24"/>
              </w:rPr>
              <w:t xml:space="preserve">Version Control and Updating Current Specification  </w:t>
            </w:r>
          </w:p>
        </w:tc>
        <w:tc>
          <w:tcPr>
            <w:tcW w:w="2547" w:type="dxa"/>
            <w:tcBorders>
              <w:top w:val="single" w:sz="4" w:space="0" w:color="auto"/>
              <w:left w:val="single" w:sz="4" w:space="0" w:color="auto"/>
              <w:bottom w:val="single" w:sz="4" w:space="0" w:color="auto"/>
              <w:right w:val="single" w:sz="4" w:space="0" w:color="auto"/>
            </w:tcBorders>
            <w:hideMark/>
          </w:tcPr>
          <w:p w:rsidR="00C54993" w:rsidRPr="00357FEB" w:rsidRDefault="00DD281E" w:rsidP="00F6312C">
            <w:pPr>
              <w:jc w:val="both"/>
              <w:rPr>
                <w:sz w:val="24"/>
              </w:rPr>
            </w:pPr>
            <w:r w:rsidRPr="00357FEB">
              <w:rPr>
                <w:sz w:val="24"/>
              </w:rPr>
              <w:t>Anne Shaw/Carolyn Dickson</w:t>
            </w:r>
          </w:p>
        </w:tc>
      </w:tr>
      <w:tr w:rsidR="00C54993" w:rsidRPr="00357FEB" w:rsidTr="00357FEB">
        <w:tc>
          <w:tcPr>
            <w:tcW w:w="1100" w:type="dxa"/>
            <w:tcBorders>
              <w:top w:val="single" w:sz="4" w:space="0" w:color="auto"/>
              <w:left w:val="single" w:sz="4" w:space="0" w:color="auto"/>
              <w:bottom w:val="single" w:sz="4" w:space="0" w:color="auto"/>
              <w:right w:val="single" w:sz="4" w:space="0" w:color="auto"/>
            </w:tcBorders>
          </w:tcPr>
          <w:p w:rsidR="00C54993" w:rsidRPr="00357FEB" w:rsidRDefault="00DD281E" w:rsidP="00F6312C">
            <w:pPr>
              <w:jc w:val="both"/>
              <w:rPr>
                <w:sz w:val="24"/>
              </w:rPr>
            </w:pPr>
            <w:r w:rsidRPr="00357FEB">
              <w:rPr>
                <w:sz w:val="24"/>
              </w:rPr>
              <w:t>V1.1</w:t>
            </w:r>
          </w:p>
        </w:tc>
        <w:tc>
          <w:tcPr>
            <w:tcW w:w="1416" w:type="dxa"/>
            <w:tcBorders>
              <w:top w:val="single" w:sz="4" w:space="0" w:color="auto"/>
              <w:left w:val="single" w:sz="4" w:space="0" w:color="auto"/>
              <w:bottom w:val="single" w:sz="4" w:space="0" w:color="auto"/>
              <w:right w:val="single" w:sz="4" w:space="0" w:color="auto"/>
            </w:tcBorders>
          </w:tcPr>
          <w:p w:rsidR="00C54993" w:rsidRPr="00357FEB" w:rsidRDefault="00DD281E" w:rsidP="00F6312C">
            <w:pPr>
              <w:jc w:val="both"/>
              <w:rPr>
                <w:sz w:val="24"/>
              </w:rPr>
            </w:pPr>
            <w:r w:rsidRPr="00357FEB">
              <w:rPr>
                <w:sz w:val="24"/>
              </w:rPr>
              <w:t>Feb 2021</w:t>
            </w:r>
          </w:p>
        </w:tc>
        <w:tc>
          <w:tcPr>
            <w:tcW w:w="4533" w:type="dxa"/>
            <w:tcBorders>
              <w:top w:val="single" w:sz="4" w:space="0" w:color="auto"/>
              <w:left w:val="single" w:sz="4" w:space="0" w:color="auto"/>
              <w:bottom w:val="single" w:sz="4" w:space="0" w:color="auto"/>
              <w:right w:val="single" w:sz="4" w:space="0" w:color="auto"/>
            </w:tcBorders>
          </w:tcPr>
          <w:p w:rsidR="00C54993" w:rsidRPr="00357FEB" w:rsidRDefault="00DD281E" w:rsidP="00F6312C">
            <w:pPr>
              <w:jc w:val="both"/>
              <w:rPr>
                <w:sz w:val="24"/>
              </w:rPr>
            </w:pPr>
            <w:r w:rsidRPr="00357FEB">
              <w:rPr>
                <w:sz w:val="24"/>
              </w:rPr>
              <w:t>Version Control and Updating Current Specification</w:t>
            </w:r>
          </w:p>
        </w:tc>
        <w:tc>
          <w:tcPr>
            <w:tcW w:w="2547" w:type="dxa"/>
            <w:tcBorders>
              <w:top w:val="single" w:sz="4" w:space="0" w:color="auto"/>
              <w:left w:val="single" w:sz="4" w:space="0" w:color="auto"/>
              <w:bottom w:val="single" w:sz="4" w:space="0" w:color="auto"/>
              <w:right w:val="single" w:sz="4" w:space="0" w:color="auto"/>
            </w:tcBorders>
          </w:tcPr>
          <w:p w:rsidR="00C54993" w:rsidRPr="00357FEB" w:rsidRDefault="00DD281E" w:rsidP="00F6312C">
            <w:pPr>
              <w:jc w:val="both"/>
              <w:rPr>
                <w:sz w:val="24"/>
              </w:rPr>
            </w:pPr>
            <w:r w:rsidRPr="00357FEB">
              <w:rPr>
                <w:sz w:val="24"/>
              </w:rPr>
              <w:t>Anne Shaw/Carolyn Dickson</w:t>
            </w:r>
          </w:p>
        </w:tc>
      </w:tr>
      <w:tr w:rsidR="00855578" w:rsidRPr="00357FEB" w:rsidTr="00357FEB">
        <w:tc>
          <w:tcPr>
            <w:tcW w:w="1100" w:type="dxa"/>
            <w:tcBorders>
              <w:top w:val="single" w:sz="4" w:space="0" w:color="auto"/>
              <w:left w:val="single" w:sz="4" w:space="0" w:color="auto"/>
              <w:bottom w:val="single" w:sz="4" w:space="0" w:color="auto"/>
              <w:right w:val="single" w:sz="4" w:space="0" w:color="auto"/>
            </w:tcBorders>
          </w:tcPr>
          <w:p w:rsidR="00855578" w:rsidRPr="00357FEB" w:rsidRDefault="00855578" w:rsidP="00F6312C">
            <w:pPr>
              <w:jc w:val="both"/>
              <w:rPr>
                <w:sz w:val="24"/>
              </w:rPr>
            </w:pPr>
            <w:r w:rsidRPr="00357FEB">
              <w:rPr>
                <w:sz w:val="24"/>
              </w:rPr>
              <w:t>V2.1</w:t>
            </w:r>
          </w:p>
        </w:tc>
        <w:tc>
          <w:tcPr>
            <w:tcW w:w="1416" w:type="dxa"/>
            <w:tcBorders>
              <w:top w:val="single" w:sz="4" w:space="0" w:color="auto"/>
              <w:left w:val="single" w:sz="4" w:space="0" w:color="auto"/>
              <w:bottom w:val="single" w:sz="4" w:space="0" w:color="auto"/>
              <w:right w:val="single" w:sz="4" w:space="0" w:color="auto"/>
            </w:tcBorders>
          </w:tcPr>
          <w:p w:rsidR="00855578" w:rsidRPr="00357FEB" w:rsidRDefault="00855578" w:rsidP="00A65A57">
            <w:pPr>
              <w:jc w:val="both"/>
              <w:rPr>
                <w:sz w:val="24"/>
              </w:rPr>
            </w:pPr>
            <w:r w:rsidRPr="00357FEB">
              <w:rPr>
                <w:sz w:val="24"/>
              </w:rPr>
              <w:t>Mar 2022</w:t>
            </w:r>
          </w:p>
        </w:tc>
        <w:tc>
          <w:tcPr>
            <w:tcW w:w="4533" w:type="dxa"/>
            <w:tcBorders>
              <w:top w:val="single" w:sz="4" w:space="0" w:color="auto"/>
              <w:left w:val="single" w:sz="4" w:space="0" w:color="auto"/>
              <w:bottom w:val="single" w:sz="4" w:space="0" w:color="auto"/>
              <w:right w:val="single" w:sz="4" w:space="0" w:color="auto"/>
            </w:tcBorders>
          </w:tcPr>
          <w:p w:rsidR="00855578" w:rsidRPr="00357FEB" w:rsidRDefault="00855578" w:rsidP="00F6312C">
            <w:pPr>
              <w:jc w:val="both"/>
              <w:rPr>
                <w:sz w:val="24"/>
              </w:rPr>
            </w:pPr>
            <w:r w:rsidRPr="00357FEB">
              <w:rPr>
                <w:sz w:val="24"/>
              </w:rPr>
              <w:t>Updating Service Specification</w:t>
            </w:r>
          </w:p>
        </w:tc>
        <w:tc>
          <w:tcPr>
            <w:tcW w:w="2547" w:type="dxa"/>
            <w:tcBorders>
              <w:top w:val="single" w:sz="4" w:space="0" w:color="auto"/>
              <w:left w:val="single" w:sz="4" w:space="0" w:color="auto"/>
              <w:bottom w:val="single" w:sz="4" w:space="0" w:color="auto"/>
              <w:right w:val="single" w:sz="4" w:space="0" w:color="auto"/>
            </w:tcBorders>
          </w:tcPr>
          <w:p w:rsidR="00855578" w:rsidRPr="00357FEB" w:rsidRDefault="00855578" w:rsidP="00F6312C">
            <w:pPr>
              <w:jc w:val="both"/>
              <w:rPr>
                <w:sz w:val="24"/>
              </w:rPr>
            </w:pPr>
            <w:r w:rsidRPr="00357FEB">
              <w:rPr>
                <w:sz w:val="24"/>
              </w:rPr>
              <w:t>Anne Shaw/Carolyn Dickson/Alex Adam</w:t>
            </w:r>
          </w:p>
        </w:tc>
      </w:tr>
      <w:tr w:rsidR="00111190" w:rsidRPr="00357FEB" w:rsidTr="00357FEB">
        <w:tc>
          <w:tcPr>
            <w:tcW w:w="1100" w:type="dxa"/>
            <w:tcBorders>
              <w:top w:val="single" w:sz="4" w:space="0" w:color="auto"/>
              <w:left w:val="single" w:sz="4" w:space="0" w:color="auto"/>
              <w:bottom w:val="single" w:sz="4" w:space="0" w:color="auto"/>
              <w:right w:val="single" w:sz="4" w:space="0" w:color="auto"/>
            </w:tcBorders>
          </w:tcPr>
          <w:p w:rsidR="00111190" w:rsidRPr="00357FEB" w:rsidRDefault="00111190" w:rsidP="00F6312C">
            <w:pPr>
              <w:jc w:val="both"/>
              <w:rPr>
                <w:sz w:val="24"/>
              </w:rPr>
            </w:pPr>
            <w:r w:rsidRPr="00357FEB">
              <w:rPr>
                <w:sz w:val="24"/>
              </w:rPr>
              <w:t>V3.1</w:t>
            </w:r>
          </w:p>
        </w:tc>
        <w:tc>
          <w:tcPr>
            <w:tcW w:w="1416" w:type="dxa"/>
            <w:tcBorders>
              <w:top w:val="single" w:sz="4" w:space="0" w:color="auto"/>
              <w:left w:val="single" w:sz="4" w:space="0" w:color="auto"/>
              <w:bottom w:val="single" w:sz="4" w:space="0" w:color="auto"/>
              <w:right w:val="single" w:sz="4" w:space="0" w:color="auto"/>
            </w:tcBorders>
          </w:tcPr>
          <w:p w:rsidR="00111190" w:rsidRPr="00357FEB" w:rsidRDefault="00111190" w:rsidP="00A65A57">
            <w:pPr>
              <w:jc w:val="both"/>
              <w:rPr>
                <w:sz w:val="24"/>
              </w:rPr>
            </w:pPr>
            <w:r w:rsidRPr="00357FEB">
              <w:rPr>
                <w:sz w:val="24"/>
              </w:rPr>
              <w:t>April 2023</w:t>
            </w:r>
          </w:p>
        </w:tc>
        <w:tc>
          <w:tcPr>
            <w:tcW w:w="4533" w:type="dxa"/>
            <w:tcBorders>
              <w:top w:val="single" w:sz="4" w:space="0" w:color="auto"/>
              <w:left w:val="single" w:sz="4" w:space="0" w:color="auto"/>
              <w:bottom w:val="single" w:sz="4" w:space="0" w:color="auto"/>
              <w:right w:val="single" w:sz="4" w:space="0" w:color="auto"/>
            </w:tcBorders>
          </w:tcPr>
          <w:p w:rsidR="00111190" w:rsidRPr="00357FEB" w:rsidRDefault="00111190" w:rsidP="00F6312C">
            <w:pPr>
              <w:jc w:val="both"/>
              <w:rPr>
                <w:sz w:val="24"/>
              </w:rPr>
            </w:pPr>
            <w:r w:rsidRPr="00357FEB">
              <w:rPr>
                <w:sz w:val="24"/>
              </w:rPr>
              <w:t>Updating Service Specification</w:t>
            </w:r>
          </w:p>
        </w:tc>
        <w:tc>
          <w:tcPr>
            <w:tcW w:w="2547" w:type="dxa"/>
            <w:tcBorders>
              <w:top w:val="single" w:sz="4" w:space="0" w:color="auto"/>
              <w:left w:val="single" w:sz="4" w:space="0" w:color="auto"/>
              <w:bottom w:val="single" w:sz="4" w:space="0" w:color="auto"/>
              <w:right w:val="single" w:sz="4" w:space="0" w:color="auto"/>
            </w:tcBorders>
          </w:tcPr>
          <w:p w:rsidR="00111190" w:rsidRPr="00357FEB" w:rsidRDefault="0085782D" w:rsidP="00F6312C">
            <w:pPr>
              <w:jc w:val="both"/>
              <w:rPr>
                <w:sz w:val="24"/>
              </w:rPr>
            </w:pPr>
            <w:r w:rsidRPr="00357FEB">
              <w:rPr>
                <w:sz w:val="24"/>
              </w:rPr>
              <w:t>Anne Shaw/Carolyn Dickson/Alex Adam</w:t>
            </w:r>
          </w:p>
        </w:tc>
      </w:tr>
      <w:tr w:rsidR="008A586E" w:rsidRPr="00357FEB" w:rsidTr="00357FEB">
        <w:tc>
          <w:tcPr>
            <w:tcW w:w="1100" w:type="dxa"/>
            <w:tcBorders>
              <w:top w:val="single" w:sz="4" w:space="0" w:color="auto"/>
              <w:left w:val="single" w:sz="4" w:space="0" w:color="auto"/>
              <w:bottom w:val="single" w:sz="4" w:space="0" w:color="auto"/>
              <w:right w:val="single" w:sz="4" w:space="0" w:color="auto"/>
            </w:tcBorders>
          </w:tcPr>
          <w:p w:rsidR="008A586E" w:rsidRPr="00357FEB" w:rsidRDefault="008A586E" w:rsidP="00F6312C">
            <w:pPr>
              <w:jc w:val="both"/>
              <w:rPr>
                <w:sz w:val="24"/>
              </w:rPr>
            </w:pPr>
            <w:r w:rsidRPr="00357FEB">
              <w:rPr>
                <w:sz w:val="24"/>
              </w:rPr>
              <w:t>V4.1</w:t>
            </w:r>
          </w:p>
        </w:tc>
        <w:tc>
          <w:tcPr>
            <w:tcW w:w="1416" w:type="dxa"/>
            <w:tcBorders>
              <w:top w:val="single" w:sz="4" w:space="0" w:color="auto"/>
              <w:left w:val="single" w:sz="4" w:space="0" w:color="auto"/>
              <w:bottom w:val="single" w:sz="4" w:space="0" w:color="auto"/>
              <w:right w:val="single" w:sz="4" w:space="0" w:color="auto"/>
            </w:tcBorders>
          </w:tcPr>
          <w:p w:rsidR="008A586E" w:rsidRPr="00357FEB" w:rsidRDefault="008A586E" w:rsidP="00A65A57">
            <w:pPr>
              <w:jc w:val="both"/>
              <w:rPr>
                <w:sz w:val="24"/>
              </w:rPr>
            </w:pPr>
            <w:r w:rsidRPr="00357FEB">
              <w:rPr>
                <w:sz w:val="24"/>
              </w:rPr>
              <w:t>March 2024</w:t>
            </w:r>
          </w:p>
        </w:tc>
        <w:tc>
          <w:tcPr>
            <w:tcW w:w="4533" w:type="dxa"/>
            <w:tcBorders>
              <w:top w:val="single" w:sz="4" w:space="0" w:color="auto"/>
              <w:left w:val="single" w:sz="4" w:space="0" w:color="auto"/>
              <w:bottom w:val="single" w:sz="4" w:space="0" w:color="auto"/>
              <w:right w:val="single" w:sz="4" w:space="0" w:color="auto"/>
            </w:tcBorders>
          </w:tcPr>
          <w:p w:rsidR="008A586E" w:rsidRPr="00357FEB" w:rsidRDefault="008A586E" w:rsidP="00F6312C">
            <w:pPr>
              <w:jc w:val="both"/>
              <w:rPr>
                <w:sz w:val="24"/>
              </w:rPr>
            </w:pPr>
            <w:r w:rsidRPr="00357FEB">
              <w:rPr>
                <w:sz w:val="24"/>
              </w:rPr>
              <w:t>Updating Service Specification</w:t>
            </w:r>
          </w:p>
        </w:tc>
        <w:tc>
          <w:tcPr>
            <w:tcW w:w="2547" w:type="dxa"/>
            <w:tcBorders>
              <w:top w:val="single" w:sz="4" w:space="0" w:color="auto"/>
              <w:left w:val="single" w:sz="4" w:space="0" w:color="auto"/>
              <w:bottom w:val="single" w:sz="4" w:space="0" w:color="auto"/>
              <w:right w:val="single" w:sz="4" w:space="0" w:color="auto"/>
            </w:tcBorders>
          </w:tcPr>
          <w:p w:rsidR="008A586E" w:rsidRPr="00357FEB" w:rsidRDefault="00795C5E" w:rsidP="00F6312C">
            <w:pPr>
              <w:jc w:val="both"/>
              <w:rPr>
                <w:sz w:val="24"/>
              </w:rPr>
            </w:pPr>
            <w:r w:rsidRPr="00357FEB">
              <w:rPr>
                <w:sz w:val="24"/>
              </w:rPr>
              <w:t>Alex Adam</w:t>
            </w:r>
          </w:p>
        </w:tc>
      </w:tr>
    </w:tbl>
    <w:p w:rsidR="00C54993" w:rsidRPr="00357FEB" w:rsidRDefault="00C54993" w:rsidP="00C54993">
      <w:pPr>
        <w:jc w:val="both"/>
        <w:rPr>
          <w:rFonts w:eastAsia="Times New Roman"/>
          <w:b/>
          <w:bCs/>
          <w:sz w:val="24"/>
        </w:rPr>
      </w:pPr>
    </w:p>
    <w:p w:rsidR="00C54993" w:rsidRPr="00357FEB" w:rsidRDefault="00C54993" w:rsidP="00C54993">
      <w:pPr>
        <w:jc w:val="both"/>
        <w:rPr>
          <w:rFonts w:eastAsia="Times New Roman"/>
          <w:b/>
          <w:bCs/>
          <w:sz w:val="24"/>
        </w:rPr>
      </w:pPr>
    </w:p>
    <w:p w:rsidR="00C54993" w:rsidRPr="00357FEB" w:rsidRDefault="00C54993" w:rsidP="00C54993">
      <w:pPr>
        <w:jc w:val="both"/>
        <w:rPr>
          <w:rFonts w:eastAsia="Times New Roman"/>
          <w:b/>
          <w:bCs/>
          <w:sz w:val="24"/>
        </w:rPr>
      </w:pPr>
    </w:p>
    <w:p w:rsidR="00C54993" w:rsidRPr="00357FEB" w:rsidRDefault="00C54993" w:rsidP="00C54993">
      <w:pPr>
        <w:jc w:val="both"/>
        <w:rPr>
          <w:rFonts w:eastAsia="Times New Roman"/>
          <w:b/>
          <w:bCs/>
          <w:sz w:val="24"/>
        </w:rPr>
      </w:pPr>
    </w:p>
    <w:p w:rsidR="00C54993" w:rsidRPr="00357FEB" w:rsidRDefault="00C54993" w:rsidP="00C54993">
      <w:pPr>
        <w:jc w:val="both"/>
        <w:rPr>
          <w:rFonts w:eastAsia="Times New Roman"/>
          <w:sz w:val="24"/>
        </w:rPr>
      </w:pPr>
      <w:r w:rsidRPr="00357FEB">
        <w:rPr>
          <w:rFonts w:eastAsia="Times New Roman"/>
          <w:b/>
          <w:bCs/>
          <w:sz w:val="24"/>
        </w:rPr>
        <w:t>Approvals:</w:t>
      </w:r>
      <w:r w:rsidRPr="00357FEB">
        <w:rPr>
          <w:rFonts w:eastAsia="Times New Roman"/>
          <w:b/>
          <w:sz w:val="24"/>
        </w:rPr>
        <w:t xml:space="preserve"> </w:t>
      </w:r>
      <w:r w:rsidRPr="00357FEB">
        <w:rPr>
          <w:rFonts w:eastAsia="Times New Roman"/>
          <w:sz w:val="24"/>
        </w:rPr>
        <w:t>this document was formally approved by:</w:t>
      </w:r>
    </w:p>
    <w:p w:rsidR="00C54993" w:rsidRPr="00357FEB" w:rsidRDefault="00C54993" w:rsidP="00C54993">
      <w:pPr>
        <w:jc w:val="both"/>
        <w:rPr>
          <w:rFonts w:eastAsia="Times New Roman"/>
          <w:b/>
          <w:sz w:val="24"/>
        </w:rPr>
      </w:pP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3"/>
        <w:gridCol w:w="1700"/>
        <w:gridCol w:w="1413"/>
      </w:tblGrid>
      <w:tr w:rsidR="00C54993" w:rsidRPr="00357FEB" w:rsidTr="00357FEB">
        <w:tc>
          <w:tcPr>
            <w:tcW w:w="6483"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sz w:val="24"/>
              </w:rPr>
            </w:pPr>
            <w:r w:rsidRPr="00357FEB">
              <w:rPr>
                <w:sz w:val="24"/>
              </w:rPr>
              <w:t>Name &amp; Title / Group:</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Date:</w:t>
            </w:r>
          </w:p>
        </w:tc>
        <w:tc>
          <w:tcPr>
            <w:tcW w:w="1413"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Version:</w:t>
            </w:r>
          </w:p>
        </w:tc>
      </w:tr>
      <w:tr w:rsidR="00C54993" w:rsidRPr="00357FEB" w:rsidTr="00357FEB">
        <w:tc>
          <w:tcPr>
            <w:tcW w:w="6483" w:type="dxa"/>
            <w:tcBorders>
              <w:top w:val="single" w:sz="4" w:space="0" w:color="auto"/>
              <w:left w:val="single" w:sz="4" w:space="0" w:color="auto"/>
              <w:bottom w:val="single" w:sz="4" w:space="0" w:color="auto"/>
              <w:right w:val="single" w:sz="4" w:space="0" w:color="auto"/>
            </w:tcBorders>
            <w:hideMark/>
          </w:tcPr>
          <w:p w:rsidR="00C54993" w:rsidRPr="00357FEB" w:rsidRDefault="00C54993" w:rsidP="00F6312C">
            <w:pPr>
              <w:pStyle w:val="nhsbase"/>
              <w:autoSpaceDE w:val="0"/>
              <w:autoSpaceDN w:val="0"/>
              <w:jc w:val="both"/>
              <w:rPr>
                <w:rFonts w:ascii="Arial" w:hAnsi="Arial" w:cs="Arial"/>
                <w:color w:val="000000"/>
                <w:szCs w:val="24"/>
              </w:rPr>
            </w:pPr>
            <w:r w:rsidRPr="00357FEB">
              <w:rPr>
                <w:rFonts w:ascii="Arial" w:hAnsi="Arial" w:cs="Arial"/>
                <w:color w:val="000000"/>
                <w:szCs w:val="24"/>
              </w:rPr>
              <w:t>Joint Pharmacy Team</w:t>
            </w:r>
          </w:p>
        </w:tc>
        <w:tc>
          <w:tcPr>
            <w:tcW w:w="1700" w:type="dxa"/>
            <w:tcBorders>
              <w:top w:val="single" w:sz="4" w:space="0" w:color="auto"/>
              <w:left w:val="single" w:sz="4" w:space="0" w:color="auto"/>
              <w:bottom w:val="single" w:sz="4" w:space="0" w:color="auto"/>
              <w:right w:val="single" w:sz="4" w:space="0" w:color="auto"/>
            </w:tcBorders>
            <w:hideMark/>
          </w:tcPr>
          <w:p w:rsidR="00C54993" w:rsidRPr="00357FEB" w:rsidRDefault="00666C04" w:rsidP="00F6312C">
            <w:pPr>
              <w:pStyle w:val="nhsbase"/>
              <w:autoSpaceDE w:val="0"/>
              <w:autoSpaceDN w:val="0"/>
              <w:jc w:val="both"/>
              <w:rPr>
                <w:rFonts w:ascii="Arial" w:hAnsi="Arial" w:cs="Arial"/>
                <w:color w:val="000000"/>
                <w:szCs w:val="24"/>
              </w:rPr>
            </w:pPr>
            <w:r w:rsidRPr="00357FEB">
              <w:rPr>
                <w:rFonts w:ascii="Arial" w:hAnsi="Arial" w:cs="Arial"/>
                <w:color w:val="000000"/>
                <w:szCs w:val="24"/>
              </w:rPr>
              <w:t>23.02.2021</w:t>
            </w:r>
          </w:p>
        </w:tc>
        <w:tc>
          <w:tcPr>
            <w:tcW w:w="1413" w:type="dxa"/>
            <w:tcBorders>
              <w:top w:val="single" w:sz="4" w:space="0" w:color="auto"/>
              <w:left w:val="single" w:sz="4" w:space="0" w:color="auto"/>
              <w:bottom w:val="single" w:sz="4" w:space="0" w:color="auto"/>
              <w:right w:val="single" w:sz="4" w:space="0" w:color="auto"/>
            </w:tcBorders>
            <w:hideMark/>
          </w:tcPr>
          <w:p w:rsidR="00C54993" w:rsidRPr="00357FEB" w:rsidRDefault="00666C04" w:rsidP="00666C04">
            <w:pPr>
              <w:jc w:val="both"/>
              <w:rPr>
                <w:rFonts w:eastAsia="Times New Roman"/>
                <w:sz w:val="24"/>
              </w:rPr>
            </w:pPr>
            <w:r w:rsidRPr="00357FEB">
              <w:rPr>
                <w:rFonts w:eastAsia="Times New Roman"/>
                <w:sz w:val="24"/>
              </w:rPr>
              <w:t>V2.0</w:t>
            </w:r>
          </w:p>
        </w:tc>
      </w:tr>
      <w:tr w:rsidR="006063FB" w:rsidRPr="00357FEB" w:rsidTr="00357FEB">
        <w:tc>
          <w:tcPr>
            <w:tcW w:w="6483" w:type="dxa"/>
            <w:tcBorders>
              <w:top w:val="single" w:sz="4" w:space="0" w:color="auto"/>
              <w:left w:val="single" w:sz="4" w:space="0" w:color="auto"/>
              <w:bottom w:val="single" w:sz="4" w:space="0" w:color="auto"/>
              <w:right w:val="single" w:sz="4" w:space="0" w:color="auto"/>
            </w:tcBorders>
          </w:tcPr>
          <w:p w:rsidR="006063FB" w:rsidRPr="00357FEB" w:rsidRDefault="006063FB" w:rsidP="00F6312C">
            <w:pPr>
              <w:pStyle w:val="nhsbase"/>
              <w:autoSpaceDE w:val="0"/>
              <w:autoSpaceDN w:val="0"/>
              <w:jc w:val="both"/>
              <w:rPr>
                <w:rFonts w:ascii="Arial" w:hAnsi="Arial" w:cs="Arial"/>
                <w:color w:val="000000"/>
                <w:szCs w:val="24"/>
              </w:rPr>
            </w:pPr>
            <w:r w:rsidRPr="00357FEB">
              <w:rPr>
                <w:rFonts w:ascii="Arial" w:hAnsi="Arial" w:cs="Arial"/>
                <w:color w:val="000000"/>
                <w:szCs w:val="24"/>
              </w:rPr>
              <w:t>Joint Pharmacy Team</w:t>
            </w:r>
          </w:p>
        </w:tc>
        <w:tc>
          <w:tcPr>
            <w:tcW w:w="1700" w:type="dxa"/>
            <w:tcBorders>
              <w:top w:val="single" w:sz="4" w:space="0" w:color="auto"/>
              <w:left w:val="single" w:sz="4" w:space="0" w:color="auto"/>
              <w:bottom w:val="single" w:sz="4" w:space="0" w:color="auto"/>
              <w:right w:val="single" w:sz="4" w:space="0" w:color="auto"/>
            </w:tcBorders>
          </w:tcPr>
          <w:p w:rsidR="006063FB" w:rsidRPr="00357FEB" w:rsidRDefault="006063FB" w:rsidP="00F6312C">
            <w:pPr>
              <w:pStyle w:val="nhsbase"/>
              <w:autoSpaceDE w:val="0"/>
              <w:autoSpaceDN w:val="0"/>
              <w:jc w:val="both"/>
              <w:rPr>
                <w:rFonts w:ascii="Arial" w:hAnsi="Arial" w:cs="Arial"/>
                <w:color w:val="000000"/>
                <w:szCs w:val="24"/>
              </w:rPr>
            </w:pPr>
            <w:r w:rsidRPr="00357FEB">
              <w:rPr>
                <w:rFonts w:ascii="Arial" w:hAnsi="Arial" w:cs="Arial"/>
                <w:color w:val="000000"/>
                <w:szCs w:val="24"/>
              </w:rPr>
              <w:t>April 2022</w:t>
            </w:r>
          </w:p>
        </w:tc>
        <w:tc>
          <w:tcPr>
            <w:tcW w:w="1413" w:type="dxa"/>
            <w:tcBorders>
              <w:top w:val="single" w:sz="4" w:space="0" w:color="auto"/>
              <w:left w:val="single" w:sz="4" w:space="0" w:color="auto"/>
              <w:bottom w:val="single" w:sz="4" w:space="0" w:color="auto"/>
              <w:right w:val="single" w:sz="4" w:space="0" w:color="auto"/>
            </w:tcBorders>
          </w:tcPr>
          <w:p w:rsidR="006063FB" w:rsidRPr="00357FEB" w:rsidRDefault="006063FB" w:rsidP="00666C04">
            <w:pPr>
              <w:jc w:val="both"/>
              <w:rPr>
                <w:rFonts w:eastAsia="Times New Roman"/>
                <w:sz w:val="24"/>
              </w:rPr>
            </w:pPr>
            <w:r w:rsidRPr="00357FEB">
              <w:rPr>
                <w:rFonts w:eastAsia="Times New Roman"/>
                <w:sz w:val="24"/>
              </w:rPr>
              <w:t>V3.0</w:t>
            </w:r>
          </w:p>
        </w:tc>
      </w:tr>
      <w:tr w:rsidR="00111190" w:rsidRPr="00357FEB" w:rsidTr="00357FEB">
        <w:tc>
          <w:tcPr>
            <w:tcW w:w="6483" w:type="dxa"/>
            <w:tcBorders>
              <w:top w:val="single" w:sz="4" w:space="0" w:color="auto"/>
              <w:left w:val="single" w:sz="4" w:space="0" w:color="auto"/>
              <w:bottom w:val="single" w:sz="4" w:space="0" w:color="auto"/>
              <w:right w:val="single" w:sz="4" w:space="0" w:color="auto"/>
            </w:tcBorders>
          </w:tcPr>
          <w:p w:rsidR="00111190" w:rsidRPr="00357FEB" w:rsidRDefault="00111190" w:rsidP="00F6312C">
            <w:pPr>
              <w:pStyle w:val="nhsbase"/>
              <w:autoSpaceDE w:val="0"/>
              <w:autoSpaceDN w:val="0"/>
              <w:jc w:val="both"/>
              <w:rPr>
                <w:rFonts w:ascii="Arial" w:hAnsi="Arial" w:cs="Arial"/>
                <w:color w:val="000000"/>
                <w:szCs w:val="24"/>
              </w:rPr>
            </w:pPr>
            <w:r w:rsidRPr="00357FEB">
              <w:rPr>
                <w:rFonts w:ascii="Arial" w:hAnsi="Arial" w:cs="Arial"/>
                <w:color w:val="000000"/>
                <w:szCs w:val="24"/>
              </w:rPr>
              <w:t>Joint Pharmacy Team</w:t>
            </w:r>
          </w:p>
        </w:tc>
        <w:tc>
          <w:tcPr>
            <w:tcW w:w="1700" w:type="dxa"/>
            <w:tcBorders>
              <w:top w:val="single" w:sz="4" w:space="0" w:color="auto"/>
              <w:left w:val="single" w:sz="4" w:space="0" w:color="auto"/>
              <w:bottom w:val="single" w:sz="4" w:space="0" w:color="auto"/>
              <w:right w:val="single" w:sz="4" w:space="0" w:color="auto"/>
            </w:tcBorders>
          </w:tcPr>
          <w:p w:rsidR="00111190" w:rsidRPr="00357FEB" w:rsidRDefault="00DA3E07" w:rsidP="00F6312C">
            <w:pPr>
              <w:pStyle w:val="nhsbase"/>
              <w:autoSpaceDE w:val="0"/>
              <w:autoSpaceDN w:val="0"/>
              <w:jc w:val="both"/>
              <w:rPr>
                <w:rFonts w:ascii="Arial" w:hAnsi="Arial" w:cs="Arial"/>
                <w:color w:val="000000"/>
                <w:szCs w:val="24"/>
              </w:rPr>
            </w:pPr>
            <w:r w:rsidRPr="00357FEB">
              <w:rPr>
                <w:rFonts w:ascii="Arial" w:hAnsi="Arial" w:cs="Arial"/>
                <w:color w:val="000000"/>
                <w:szCs w:val="24"/>
              </w:rPr>
              <w:t>May 2023</w:t>
            </w:r>
          </w:p>
        </w:tc>
        <w:tc>
          <w:tcPr>
            <w:tcW w:w="1413" w:type="dxa"/>
            <w:tcBorders>
              <w:top w:val="single" w:sz="4" w:space="0" w:color="auto"/>
              <w:left w:val="single" w:sz="4" w:space="0" w:color="auto"/>
              <w:bottom w:val="single" w:sz="4" w:space="0" w:color="auto"/>
              <w:right w:val="single" w:sz="4" w:space="0" w:color="auto"/>
            </w:tcBorders>
          </w:tcPr>
          <w:p w:rsidR="00111190" w:rsidRPr="00357FEB" w:rsidRDefault="00111190" w:rsidP="00666C04">
            <w:pPr>
              <w:jc w:val="both"/>
              <w:rPr>
                <w:rFonts w:eastAsia="Times New Roman"/>
                <w:sz w:val="24"/>
              </w:rPr>
            </w:pPr>
            <w:r w:rsidRPr="00357FEB">
              <w:rPr>
                <w:rFonts w:eastAsia="Times New Roman"/>
                <w:sz w:val="24"/>
              </w:rPr>
              <w:t>V4.0</w:t>
            </w:r>
          </w:p>
        </w:tc>
      </w:tr>
      <w:tr w:rsidR="008A586E" w:rsidRPr="00357FEB" w:rsidTr="00357FEB">
        <w:tc>
          <w:tcPr>
            <w:tcW w:w="6483" w:type="dxa"/>
            <w:tcBorders>
              <w:top w:val="single" w:sz="4" w:space="0" w:color="auto"/>
              <w:left w:val="single" w:sz="4" w:space="0" w:color="auto"/>
              <w:bottom w:val="single" w:sz="4" w:space="0" w:color="auto"/>
              <w:right w:val="single" w:sz="4" w:space="0" w:color="auto"/>
            </w:tcBorders>
          </w:tcPr>
          <w:p w:rsidR="008A586E" w:rsidRPr="00357FEB" w:rsidRDefault="008A586E" w:rsidP="00F6312C">
            <w:pPr>
              <w:pStyle w:val="nhsbase"/>
              <w:autoSpaceDE w:val="0"/>
              <w:autoSpaceDN w:val="0"/>
              <w:jc w:val="both"/>
              <w:rPr>
                <w:rFonts w:ascii="Arial" w:hAnsi="Arial" w:cs="Arial"/>
                <w:color w:val="000000"/>
                <w:szCs w:val="24"/>
              </w:rPr>
            </w:pPr>
            <w:r w:rsidRPr="00357FEB">
              <w:rPr>
                <w:rFonts w:ascii="Arial" w:hAnsi="Arial" w:cs="Arial"/>
                <w:color w:val="000000"/>
                <w:szCs w:val="24"/>
              </w:rPr>
              <w:t>Joint Pharmacy Team</w:t>
            </w:r>
          </w:p>
        </w:tc>
        <w:tc>
          <w:tcPr>
            <w:tcW w:w="1700" w:type="dxa"/>
            <w:tcBorders>
              <w:top w:val="single" w:sz="4" w:space="0" w:color="auto"/>
              <w:left w:val="single" w:sz="4" w:space="0" w:color="auto"/>
              <w:bottom w:val="single" w:sz="4" w:space="0" w:color="auto"/>
              <w:right w:val="single" w:sz="4" w:space="0" w:color="auto"/>
            </w:tcBorders>
          </w:tcPr>
          <w:p w:rsidR="008A586E" w:rsidRPr="00357FEB" w:rsidRDefault="002368C6" w:rsidP="00F6312C">
            <w:pPr>
              <w:pStyle w:val="nhsbase"/>
              <w:autoSpaceDE w:val="0"/>
              <w:autoSpaceDN w:val="0"/>
              <w:jc w:val="both"/>
              <w:rPr>
                <w:rFonts w:ascii="Arial" w:hAnsi="Arial" w:cs="Arial"/>
                <w:color w:val="000000"/>
                <w:szCs w:val="24"/>
              </w:rPr>
            </w:pPr>
            <w:r>
              <w:rPr>
                <w:rFonts w:ascii="Arial" w:hAnsi="Arial" w:cs="Arial"/>
                <w:color w:val="000000"/>
                <w:szCs w:val="24"/>
              </w:rPr>
              <w:t>28.05.2024</w:t>
            </w:r>
          </w:p>
        </w:tc>
        <w:tc>
          <w:tcPr>
            <w:tcW w:w="1413" w:type="dxa"/>
            <w:tcBorders>
              <w:top w:val="single" w:sz="4" w:space="0" w:color="auto"/>
              <w:left w:val="single" w:sz="4" w:space="0" w:color="auto"/>
              <w:bottom w:val="single" w:sz="4" w:space="0" w:color="auto"/>
              <w:right w:val="single" w:sz="4" w:space="0" w:color="auto"/>
            </w:tcBorders>
          </w:tcPr>
          <w:p w:rsidR="008A586E" w:rsidRPr="00357FEB" w:rsidRDefault="008A586E" w:rsidP="00666C04">
            <w:pPr>
              <w:jc w:val="both"/>
              <w:rPr>
                <w:rFonts w:eastAsia="Times New Roman"/>
                <w:sz w:val="24"/>
              </w:rPr>
            </w:pPr>
            <w:r w:rsidRPr="00357FEB">
              <w:rPr>
                <w:rFonts w:eastAsia="Times New Roman"/>
                <w:sz w:val="24"/>
              </w:rPr>
              <w:t>V5.0</w:t>
            </w:r>
          </w:p>
        </w:tc>
      </w:tr>
    </w:tbl>
    <w:p w:rsidR="00C54993" w:rsidRPr="00357FEB" w:rsidRDefault="00C54993" w:rsidP="00C54993">
      <w:pPr>
        <w:jc w:val="both"/>
        <w:rPr>
          <w:rFonts w:eastAsia="Times New Roman"/>
          <w:sz w:val="24"/>
        </w:rPr>
      </w:pPr>
    </w:p>
    <w:p w:rsidR="00C54993" w:rsidRPr="00357FEB" w:rsidRDefault="00C54993" w:rsidP="00C54993">
      <w:pPr>
        <w:jc w:val="both"/>
        <w:rPr>
          <w:rFonts w:eastAsia="Times New Roman"/>
          <w:b/>
          <w:sz w:val="24"/>
        </w:rPr>
      </w:pPr>
      <w:r w:rsidRPr="00357FEB">
        <w:rPr>
          <w:rFonts w:eastAsia="Times New Roman"/>
          <w:b/>
          <w:sz w:val="24"/>
        </w:rPr>
        <w:t xml:space="preserve">Dissemination Arrangements:   </w:t>
      </w: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3980"/>
        <w:gridCol w:w="1701"/>
        <w:gridCol w:w="1410"/>
      </w:tblGrid>
      <w:tr w:rsidR="00C54993" w:rsidRPr="00357FEB" w:rsidTr="00357FEB">
        <w:tc>
          <w:tcPr>
            <w:tcW w:w="2505"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outlineLvl w:val="2"/>
              <w:rPr>
                <w:rFonts w:eastAsia="Times New Roman"/>
                <w:sz w:val="24"/>
              </w:rPr>
            </w:pPr>
            <w:bookmarkStart w:id="0" w:name="_Toc37078050"/>
            <w:r w:rsidRPr="00357FEB">
              <w:rPr>
                <w:rFonts w:eastAsia="Times New Roman"/>
                <w:sz w:val="24"/>
              </w:rPr>
              <w:t>Intended audience:</w:t>
            </w:r>
            <w:bookmarkEnd w:id="0"/>
          </w:p>
        </w:tc>
        <w:tc>
          <w:tcPr>
            <w:tcW w:w="3980"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Method:</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Date:</w:t>
            </w:r>
          </w:p>
        </w:tc>
        <w:tc>
          <w:tcPr>
            <w:tcW w:w="1410"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Version:</w:t>
            </w:r>
          </w:p>
        </w:tc>
      </w:tr>
      <w:tr w:rsidR="00C54993" w:rsidRPr="00357FEB" w:rsidTr="00357FEB">
        <w:tc>
          <w:tcPr>
            <w:tcW w:w="2505" w:type="dxa"/>
            <w:tcBorders>
              <w:top w:val="single" w:sz="4" w:space="0" w:color="auto"/>
              <w:left w:val="single" w:sz="4" w:space="0" w:color="auto"/>
              <w:bottom w:val="single" w:sz="4" w:space="0" w:color="auto"/>
              <w:right w:val="single" w:sz="4" w:space="0" w:color="auto"/>
            </w:tcBorders>
            <w:hideMark/>
          </w:tcPr>
          <w:p w:rsidR="00C54993" w:rsidRPr="00357FEB" w:rsidRDefault="00C54993" w:rsidP="00F6312C">
            <w:pPr>
              <w:jc w:val="both"/>
              <w:rPr>
                <w:rFonts w:eastAsia="Times New Roman"/>
                <w:sz w:val="24"/>
              </w:rPr>
            </w:pPr>
            <w:r w:rsidRPr="00357FEB">
              <w:rPr>
                <w:rFonts w:eastAsia="Times New Roman"/>
                <w:sz w:val="24"/>
              </w:rPr>
              <w:t>Community Pharmacists</w:t>
            </w:r>
          </w:p>
        </w:tc>
        <w:tc>
          <w:tcPr>
            <w:tcW w:w="3980" w:type="dxa"/>
            <w:tcBorders>
              <w:top w:val="single" w:sz="4" w:space="0" w:color="auto"/>
              <w:left w:val="single" w:sz="4" w:space="0" w:color="auto"/>
              <w:bottom w:val="single" w:sz="4" w:space="0" w:color="auto"/>
              <w:right w:val="single" w:sz="4" w:space="0" w:color="auto"/>
            </w:tcBorders>
            <w:hideMark/>
          </w:tcPr>
          <w:p w:rsidR="00C54993" w:rsidRPr="00357FEB" w:rsidRDefault="00C54993" w:rsidP="00F6312C">
            <w:pPr>
              <w:jc w:val="both"/>
              <w:rPr>
                <w:rFonts w:eastAsia="Times New Roman"/>
                <w:sz w:val="24"/>
              </w:rPr>
            </w:pPr>
            <w:r w:rsidRPr="00357FEB">
              <w:rPr>
                <w:rFonts w:eastAsia="Times New Roman"/>
                <w:sz w:val="24"/>
              </w:rPr>
              <w:t xml:space="preserve">Email </w:t>
            </w:r>
          </w:p>
        </w:tc>
        <w:tc>
          <w:tcPr>
            <w:tcW w:w="1701" w:type="dxa"/>
            <w:tcBorders>
              <w:top w:val="single" w:sz="4" w:space="0" w:color="auto"/>
              <w:left w:val="single" w:sz="4" w:space="0" w:color="auto"/>
              <w:bottom w:val="single" w:sz="4" w:space="0" w:color="auto"/>
              <w:right w:val="single" w:sz="4" w:space="0" w:color="auto"/>
            </w:tcBorders>
            <w:hideMark/>
          </w:tcPr>
          <w:p w:rsidR="00C54993" w:rsidRPr="00357FEB" w:rsidRDefault="00666C04" w:rsidP="00F6312C">
            <w:pPr>
              <w:jc w:val="both"/>
              <w:rPr>
                <w:rFonts w:eastAsia="Times New Roman"/>
                <w:sz w:val="24"/>
              </w:rPr>
            </w:pPr>
            <w:r w:rsidRPr="00357FEB">
              <w:rPr>
                <w:rFonts w:eastAsia="Times New Roman"/>
                <w:sz w:val="24"/>
              </w:rPr>
              <w:t>April 2021</w:t>
            </w:r>
          </w:p>
        </w:tc>
        <w:tc>
          <w:tcPr>
            <w:tcW w:w="1410" w:type="dxa"/>
            <w:tcBorders>
              <w:top w:val="single" w:sz="4" w:space="0" w:color="auto"/>
              <w:left w:val="single" w:sz="4" w:space="0" w:color="auto"/>
              <w:bottom w:val="single" w:sz="4" w:space="0" w:color="auto"/>
              <w:right w:val="single" w:sz="4" w:space="0" w:color="auto"/>
            </w:tcBorders>
            <w:hideMark/>
          </w:tcPr>
          <w:p w:rsidR="00C54993" w:rsidRPr="00357FEB" w:rsidRDefault="00666C04" w:rsidP="00F6312C">
            <w:pPr>
              <w:jc w:val="both"/>
              <w:rPr>
                <w:rFonts w:eastAsia="Times New Roman"/>
                <w:sz w:val="24"/>
              </w:rPr>
            </w:pPr>
            <w:r w:rsidRPr="00357FEB">
              <w:rPr>
                <w:rFonts w:eastAsia="Times New Roman"/>
                <w:sz w:val="24"/>
              </w:rPr>
              <w:t>V2.0</w:t>
            </w:r>
          </w:p>
        </w:tc>
      </w:tr>
      <w:tr w:rsidR="006063FB" w:rsidRPr="00357FEB" w:rsidTr="00357FEB">
        <w:tc>
          <w:tcPr>
            <w:tcW w:w="2505" w:type="dxa"/>
            <w:tcBorders>
              <w:top w:val="single" w:sz="4" w:space="0" w:color="auto"/>
              <w:left w:val="single" w:sz="4" w:space="0" w:color="auto"/>
              <w:bottom w:val="single" w:sz="4" w:space="0" w:color="auto"/>
              <w:right w:val="single" w:sz="4" w:space="0" w:color="auto"/>
            </w:tcBorders>
          </w:tcPr>
          <w:p w:rsidR="006063FB" w:rsidRPr="00357FEB" w:rsidRDefault="006063FB" w:rsidP="006063FB">
            <w:pPr>
              <w:jc w:val="both"/>
              <w:rPr>
                <w:rFonts w:eastAsia="Times New Roman"/>
                <w:sz w:val="24"/>
              </w:rPr>
            </w:pPr>
            <w:r w:rsidRPr="00357FEB">
              <w:rPr>
                <w:rFonts w:eastAsia="Times New Roman"/>
                <w:sz w:val="24"/>
              </w:rPr>
              <w:t>Community Pharmacists</w:t>
            </w:r>
          </w:p>
        </w:tc>
        <w:tc>
          <w:tcPr>
            <w:tcW w:w="3980" w:type="dxa"/>
            <w:tcBorders>
              <w:top w:val="single" w:sz="4" w:space="0" w:color="auto"/>
              <w:left w:val="single" w:sz="4" w:space="0" w:color="auto"/>
              <w:bottom w:val="single" w:sz="4" w:space="0" w:color="auto"/>
              <w:right w:val="single" w:sz="4" w:space="0" w:color="auto"/>
            </w:tcBorders>
          </w:tcPr>
          <w:p w:rsidR="006063FB" w:rsidRPr="00357FEB" w:rsidRDefault="006063FB" w:rsidP="00F6312C">
            <w:pPr>
              <w:jc w:val="both"/>
              <w:rPr>
                <w:rFonts w:eastAsia="Times New Roman"/>
                <w:sz w:val="24"/>
              </w:rPr>
            </w:pPr>
            <w:r w:rsidRPr="00357FEB">
              <w:rPr>
                <w:rFonts w:eastAsia="Times New Roman"/>
                <w:sz w:val="24"/>
              </w:rPr>
              <w:t>Email</w:t>
            </w:r>
          </w:p>
        </w:tc>
        <w:tc>
          <w:tcPr>
            <w:tcW w:w="1701" w:type="dxa"/>
            <w:tcBorders>
              <w:top w:val="single" w:sz="4" w:space="0" w:color="auto"/>
              <w:left w:val="single" w:sz="4" w:space="0" w:color="auto"/>
              <w:bottom w:val="single" w:sz="4" w:space="0" w:color="auto"/>
              <w:right w:val="single" w:sz="4" w:space="0" w:color="auto"/>
            </w:tcBorders>
          </w:tcPr>
          <w:p w:rsidR="006063FB" w:rsidRPr="00357FEB" w:rsidRDefault="006063FB" w:rsidP="00F6312C">
            <w:pPr>
              <w:jc w:val="both"/>
              <w:rPr>
                <w:rFonts w:eastAsia="Times New Roman"/>
                <w:sz w:val="24"/>
              </w:rPr>
            </w:pPr>
            <w:r w:rsidRPr="00357FEB">
              <w:rPr>
                <w:rFonts w:eastAsia="Times New Roman"/>
                <w:sz w:val="24"/>
              </w:rPr>
              <w:t>April 2022</w:t>
            </w:r>
          </w:p>
        </w:tc>
        <w:tc>
          <w:tcPr>
            <w:tcW w:w="1410" w:type="dxa"/>
            <w:tcBorders>
              <w:top w:val="single" w:sz="4" w:space="0" w:color="auto"/>
              <w:left w:val="single" w:sz="4" w:space="0" w:color="auto"/>
              <w:bottom w:val="single" w:sz="4" w:space="0" w:color="auto"/>
              <w:right w:val="single" w:sz="4" w:space="0" w:color="auto"/>
            </w:tcBorders>
          </w:tcPr>
          <w:p w:rsidR="006063FB" w:rsidRPr="00357FEB" w:rsidRDefault="006063FB" w:rsidP="00F6312C">
            <w:pPr>
              <w:jc w:val="both"/>
              <w:rPr>
                <w:rFonts w:eastAsia="Times New Roman"/>
                <w:sz w:val="24"/>
              </w:rPr>
            </w:pPr>
            <w:r w:rsidRPr="00357FEB">
              <w:rPr>
                <w:rFonts w:eastAsia="Times New Roman"/>
                <w:sz w:val="24"/>
              </w:rPr>
              <w:t>V3.0</w:t>
            </w:r>
          </w:p>
        </w:tc>
      </w:tr>
      <w:tr w:rsidR="00111190" w:rsidRPr="00357FEB" w:rsidTr="00357FEB">
        <w:tc>
          <w:tcPr>
            <w:tcW w:w="2505" w:type="dxa"/>
            <w:tcBorders>
              <w:top w:val="single" w:sz="4" w:space="0" w:color="auto"/>
              <w:left w:val="single" w:sz="4" w:space="0" w:color="auto"/>
              <w:bottom w:val="single" w:sz="4" w:space="0" w:color="auto"/>
              <w:right w:val="single" w:sz="4" w:space="0" w:color="auto"/>
            </w:tcBorders>
          </w:tcPr>
          <w:p w:rsidR="00111190" w:rsidRPr="00357FEB" w:rsidRDefault="00111190" w:rsidP="006063FB">
            <w:pPr>
              <w:jc w:val="both"/>
              <w:rPr>
                <w:rFonts w:eastAsia="Times New Roman"/>
                <w:sz w:val="24"/>
              </w:rPr>
            </w:pPr>
            <w:r w:rsidRPr="00357FEB">
              <w:rPr>
                <w:rFonts w:eastAsia="Times New Roman"/>
                <w:sz w:val="24"/>
              </w:rPr>
              <w:t>Community Pharmacists</w:t>
            </w:r>
          </w:p>
        </w:tc>
        <w:tc>
          <w:tcPr>
            <w:tcW w:w="3980" w:type="dxa"/>
            <w:tcBorders>
              <w:top w:val="single" w:sz="4" w:space="0" w:color="auto"/>
              <w:left w:val="single" w:sz="4" w:space="0" w:color="auto"/>
              <w:bottom w:val="single" w:sz="4" w:space="0" w:color="auto"/>
              <w:right w:val="single" w:sz="4" w:space="0" w:color="auto"/>
            </w:tcBorders>
          </w:tcPr>
          <w:p w:rsidR="00111190" w:rsidRPr="00357FEB" w:rsidRDefault="00111190" w:rsidP="00F6312C">
            <w:pPr>
              <w:jc w:val="both"/>
              <w:rPr>
                <w:rFonts w:eastAsia="Times New Roman"/>
                <w:sz w:val="24"/>
              </w:rPr>
            </w:pPr>
            <w:r w:rsidRPr="00357FEB">
              <w:rPr>
                <w:rFonts w:eastAsia="Times New Roman"/>
                <w:sz w:val="24"/>
              </w:rPr>
              <w:t>Email</w:t>
            </w:r>
          </w:p>
        </w:tc>
        <w:tc>
          <w:tcPr>
            <w:tcW w:w="1701" w:type="dxa"/>
            <w:tcBorders>
              <w:top w:val="single" w:sz="4" w:space="0" w:color="auto"/>
              <w:left w:val="single" w:sz="4" w:space="0" w:color="auto"/>
              <w:bottom w:val="single" w:sz="4" w:space="0" w:color="auto"/>
              <w:right w:val="single" w:sz="4" w:space="0" w:color="auto"/>
            </w:tcBorders>
          </w:tcPr>
          <w:p w:rsidR="00111190" w:rsidRPr="00357FEB" w:rsidRDefault="00DA3E07" w:rsidP="00F6312C">
            <w:pPr>
              <w:jc w:val="both"/>
              <w:rPr>
                <w:rFonts w:eastAsia="Times New Roman"/>
                <w:sz w:val="24"/>
              </w:rPr>
            </w:pPr>
            <w:r w:rsidRPr="00357FEB">
              <w:rPr>
                <w:rFonts w:eastAsia="Times New Roman"/>
                <w:sz w:val="24"/>
              </w:rPr>
              <w:t>May 2023</w:t>
            </w:r>
          </w:p>
        </w:tc>
        <w:tc>
          <w:tcPr>
            <w:tcW w:w="1410" w:type="dxa"/>
            <w:tcBorders>
              <w:top w:val="single" w:sz="4" w:space="0" w:color="auto"/>
              <w:left w:val="single" w:sz="4" w:space="0" w:color="auto"/>
              <w:bottom w:val="single" w:sz="4" w:space="0" w:color="auto"/>
              <w:right w:val="single" w:sz="4" w:space="0" w:color="auto"/>
            </w:tcBorders>
          </w:tcPr>
          <w:p w:rsidR="00111190" w:rsidRPr="00357FEB" w:rsidRDefault="00111190" w:rsidP="00F6312C">
            <w:pPr>
              <w:jc w:val="both"/>
              <w:rPr>
                <w:rFonts w:eastAsia="Times New Roman"/>
                <w:sz w:val="24"/>
              </w:rPr>
            </w:pPr>
            <w:r w:rsidRPr="00357FEB">
              <w:rPr>
                <w:rFonts w:eastAsia="Times New Roman"/>
                <w:sz w:val="24"/>
              </w:rPr>
              <w:t>V4.0</w:t>
            </w:r>
          </w:p>
        </w:tc>
      </w:tr>
      <w:tr w:rsidR="008A586E" w:rsidRPr="00357FEB" w:rsidTr="00357FEB">
        <w:tc>
          <w:tcPr>
            <w:tcW w:w="2505" w:type="dxa"/>
            <w:tcBorders>
              <w:top w:val="single" w:sz="4" w:space="0" w:color="auto"/>
              <w:left w:val="single" w:sz="4" w:space="0" w:color="auto"/>
              <w:bottom w:val="single" w:sz="4" w:space="0" w:color="auto"/>
              <w:right w:val="single" w:sz="4" w:space="0" w:color="auto"/>
            </w:tcBorders>
          </w:tcPr>
          <w:p w:rsidR="008A586E" w:rsidRPr="00357FEB" w:rsidRDefault="008A586E" w:rsidP="006063FB">
            <w:pPr>
              <w:jc w:val="both"/>
              <w:rPr>
                <w:rFonts w:eastAsia="Times New Roman"/>
                <w:sz w:val="24"/>
              </w:rPr>
            </w:pPr>
            <w:r w:rsidRPr="00357FEB">
              <w:rPr>
                <w:rFonts w:eastAsia="Times New Roman"/>
                <w:sz w:val="24"/>
              </w:rPr>
              <w:t>Community Pharmacists</w:t>
            </w:r>
          </w:p>
        </w:tc>
        <w:tc>
          <w:tcPr>
            <w:tcW w:w="3980" w:type="dxa"/>
            <w:tcBorders>
              <w:top w:val="single" w:sz="4" w:space="0" w:color="auto"/>
              <w:left w:val="single" w:sz="4" w:space="0" w:color="auto"/>
              <w:bottom w:val="single" w:sz="4" w:space="0" w:color="auto"/>
              <w:right w:val="single" w:sz="4" w:space="0" w:color="auto"/>
            </w:tcBorders>
          </w:tcPr>
          <w:p w:rsidR="008A586E" w:rsidRPr="00357FEB" w:rsidRDefault="008A586E" w:rsidP="00F6312C">
            <w:pPr>
              <w:jc w:val="both"/>
              <w:rPr>
                <w:rFonts w:eastAsia="Times New Roman"/>
                <w:sz w:val="24"/>
              </w:rPr>
            </w:pPr>
            <w:r w:rsidRPr="00357FEB">
              <w:rPr>
                <w:rFonts w:eastAsia="Times New Roman"/>
                <w:sz w:val="24"/>
              </w:rPr>
              <w:t>Email</w:t>
            </w:r>
          </w:p>
        </w:tc>
        <w:tc>
          <w:tcPr>
            <w:tcW w:w="1701" w:type="dxa"/>
            <w:tcBorders>
              <w:top w:val="single" w:sz="4" w:space="0" w:color="auto"/>
              <w:left w:val="single" w:sz="4" w:space="0" w:color="auto"/>
              <w:bottom w:val="single" w:sz="4" w:space="0" w:color="auto"/>
              <w:right w:val="single" w:sz="4" w:space="0" w:color="auto"/>
            </w:tcBorders>
          </w:tcPr>
          <w:p w:rsidR="008A586E" w:rsidRPr="00357FEB" w:rsidRDefault="0038500E" w:rsidP="00F6312C">
            <w:pPr>
              <w:jc w:val="both"/>
              <w:rPr>
                <w:rFonts w:eastAsia="Times New Roman"/>
                <w:sz w:val="24"/>
              </w:rPr>
            </w:pPr>
            <w:r>
              <w:rPr>
                <w:rFonts w:eastAsia="Times New Roman"/>
                <w:sz w:val="24"/>
              </w:rPr>
              <w:t>June 2024</w:t>
            </w:r>
            <w:bookmarkStart w:id="1" w:name="_GoBack"/>
            <w:bookmarkEnd w:id="1"/>
          </w:p>
        </w:tc>
        <w:tc>
          <w:tcPr>
            <w:tcW w:w="1410" w:type="dxa"/>
            <w:tcBorders>
              <w:top w:val="single" w:sz="4" w:space="0" w:color="auto"/>
              <w:left w:val="single" w:sz="4" w:space="0" w:color="auto"/>
              <w:bottom w:val="single" w:sz="4" w:space="0" w:color="auto"/>
              <w:right w:val="single" w:sz="4" w:space="0" w:color="auto"/>
            </w:tcBorders>
          </w:tcPr>
          <w:p w:rsidR="008A586E" w:rsidRPr="00357FEB" w:rsidRDefault="008A586E" w:rsidP="00F6312C">
            <w:pPr>
              <w:jc w:val="both"/>
              <w:rPr>
                <w:rFonts w:eastAsia="Times New Roman"/>
                <w:sz w:val="24"/>
              </w:rPr>
            </w:pPr>
            <w:r w:rsidRPr="00357FEB">
              <w:rPr>
                <w:rFonts w:eastAsia="Times New Roman"/>
                <w:sz w:val="24"/>
              </w:rPr>
              <w:t>V5.0</w:t>
            </w:r>
          </w:p>
        </w:tc>
      </w:tr>
    </w:tbl>
    <w:p w:rsidR="00C54993" w:rsidRPr="00357FEB" w:rsidRDefault="00C54993" w:rsidP="00C54993">
      <w:pPr>
        <w:jc w:val="both"/>
        <w:rPr>
          <w:rFonts w:eastAsia="Times New Roman"/>
          <w:sz w:val="24"/>
        </w:rPr>
      </w:pPr>
    </w:p>
    <w:p w:rsidR="00C54993" w:rsidRPr="00357FEB" w:rsidRDefault="00C54993" w:rsidP="00C54993">
      <w:pPr>
        <w:jc w:val="both"/>
        <w:rPr>
          <w:rFonts w:eastAsia="Times New Roman"/>
          <w:b/>
          <w:sz w:val="24"/>
        </w:rPr>
      </w:pPr>
      <w:r w:rsidRPr="00357FEB">
        <w:rPr>
          <w:rFonts w:eastAsia="Times New Roman"/>
          <w:b/>
          <w:sz w:val="24"/>
        </w:rPr>
        <w:t>Linked Documentation:</w:t>
      </w: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6087"/>
      </w:tblGrid>
      <w:tr w:rsidR="00C54993" w:rsidRPr="00357FEB" w:rsidTr="00357FEB">
        <w:tc>
          <w:tcPr>
            <w:tcW w:w="3509"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Document Title:</w:t>
            </w:r>
          </w:p>
        </w:tc>
        <w:tc>
          <w:tcPr>
            <w:tcW w:w="6087" w:type="dxa"/>
            <w:tcBorders>
              <w:top w:val="single" w:sz="4" w:space="0" w:color="auto"/>
              <w:left w:val="single" w:sz="4" w:space="0" w:color="auto"/>
              <w:bottom w:val="single" w:sz="4" w:space="0" w:color="auto"/>
              <w:right w:val="single" w:sz="4" w:space="0" w:color="auto"/>
            </w:tcBorders>
            <w:shd w:val="clear" w:color="auto" w:fill="D9D9D9"/>
            <w:hideMark/>
          </w:tcPr>
          <w:p w:rsidR="00C54993" w:rsidRPr="00357FEB" w:rsidRDefault="00C54993" w:rsidP="00F6312C">
            <w:pPr>
              <w:jc w:val="both"/>
              <w:rPr>
                <w:rFonts w:eastAsia="Times New Roman"/>
                <w:sz w:val="24"/>
              </w:rPr>
            </w:pPr>
            <w:r w:rsidRPr="00357FEB">
              <w:rPr>
                <w:rFonts w:eastAsia="Times New Roman"/>
                <w:sz w:val="24"/>
              </w:rPr>
              <w:t>Document File Path:</w:t>
            </w:r>
          </w:p>
        </w:tc>
      </w:tr>
      <w:tr w:rsidR="00C54993" w:rsidRPr="00357FEB" w:rsidTr="00357FEB">
        <w:tc>
          <w:tcPr>
            <w:tcW w:w="3509" w:type="dxa"/>
            <w:tcBorders>
              <w:top w:val="single" w:sz="4" w:space="0" w:color="auto"/>
              <w:left w:val="single" w:sz="4" w:space="0" w:color="auto"/>
              <w:bottom w:val="single" w:sz="4" w:space="0" w:color="auto"/>
              <w:right w:val="single" w:sz="4" w:space="0" w:color="auto"/>
            </w:tcBorders>
          </w:tcPr>
          <w:p w:rsidR="00C54993" w:rsidRPr="00357FEB" w:rsidRDefault="00C54993" w:rsidP="00F6312C">
            <w:pPr>
              <w:pStyle w:val="Header"/>
              <w:jc w:val="both"/>
              <w:rPr>
                <w:rFonts w:eastAsia="Times New Roman"/>
                <w:sz w:val="24"/>
              </w:rPr>
            </w:pPr>
          </w:p>
        </w:tc>
        <w:tc>
          <w:tcPr>
            <w:tcW w:w="6087" w:type="dxa"/>
            <w:tcBorders>
              <w:top w:val="single" w:sz="4" w:space="0" w:color="auto"/>
              <w:left w:val="single" w:sz="4" w:space="0" w:color="auto"/>
              <w:bottom w:val="single" w:sz="4" w:space="0" w:color="auto"/>
              <w:right w:val="single" w:sz="4" w:space="0" w:color="auto"/>
            </w:tcBorders>
          </w:tcPr>
          <w:p w:rsidR="00C54993" w:rsidRPr="00357FEB" w:rsidRDefault="00C54993" w:rsidP="00F6312C">
            <w:pPr>
              <w:jc w:val="both"/>
              <w:rPr>
                <w:rFonts w:eastAsia="Times New Roman"/>
                <w:sz w:val="24"/>
              </w:rPr>
            </w:pPr>
          </w:p>
        </w:tc>
      </w:tr>
    </w:tbl>
    <w:p w:rsidR="00C54993" w:rsidRPr="00357FEB" w:rsidRDefault="00C54993" w:rsidP="00C54993">
      <w:pPr>
        <w:jc w:val="both"/>
        <w:rPr>
          <w:rFonts w:eastAsia="Times New Roman"/>
          <w:b/>
          <w:sz w:val="24"/>
        </w:rPr>
      </w:pPr>
    </w:p>
    <w:p w:rsidR="00C54993" w:rsidRPr="00357FEB" w:rsidRDefault="00C54993" w:rsidP="00C54993">
      <w:pPr>
        <w:jc w:val="both"/>
        <w:rPr>
          <w:rFonts w:eastAsia="Times New Roman"/>
          <w:sz w:val="24"/>
        </w:rPr>
      </w:pPr>
      <w:r w:rsidRPr="00357FEB">
        <w:rPr>
          <w:rFonts w:eastAsia="Times New Roman"/>
          <w:b/>
          <w:sz w:val="24"/>
        </w:rPr>
        <w:t xml:space="preserve">NB. This document is uncontrolled when printed.  </w:t>
      </w:r>
      <w:r w:rsidRPr="00357FEB">
        <w:rPr>
          <w:rFonts w:eastAsia="Times New Roman"/>
          <w:sz w:val="24"/>
        </w:rPr>
        <w:t xml:space="preserve">The contents of this document are subject to change, any paper copy is only valid on the day of printing.  To ensure you have the most up to date version of this document please use the link to access the document directly from </w:t>
      </w:r>
      <w:proofErr w:type="spellStart"/>
      <w:r w:rsidRPr="00357FEB">
        <w:rPr>
          <w:rFonts w:eastAsia="Times New Roman"/>
          <w:sz w:val="24"/>
        </w:rPr>
        <w:t>AthenA</w:t>
      </w:r>
      <w:proofErr w:type="spellEnd"/>
      <w:r w:rsidRPr="00357FEB">
        <w:rPr>
          <w:rFonts w:eastAsia="Times New Roman"/>
          <w:sz w:val="24"/>
        </w:rPr>
        <w:t xml:space="preserve"> or contact the Author.</w:t>
      </w:r>
    </w:p>
    <w:p w:rsidR="00C54993" w:rsidRPr="00357FEB" w:rsidRDefault="00C54993" w:rsidP="00C54993">
      <w:pPr>
        <w:rPr>
          <w:sz w:val="24"/>
        </w:rPr>
      </w:pPr>
      <w:r w:rsidRPr="00357FEB">
        <w:rPr>
          <w:sz w:val="24"/>
        </w:rPr>
        <w:br w:type="page"/>
      </w:r>
    </w:p>
    <w:p w:rsidR="0015544F" w:rsidRDefault="0015544F">
      <w:pPr>
        <w:pStyle w:val="BodyText"/>
        <w:ind w:left="7818"/>
        <w:rPr>
          <w:rFonts w:ascii="Times New Roman"/>
          <w:sz w:val="20"/>
        </w:rPr>
      </w:pPr>
    </w:p>
    <w:p w:rsidR="0015544F" w:rsidRDefault="0015544F">
      <w:pPr>
        <w:pStyle w:val="BodyText"/>
        <w:ind w:left="7818"/>
        <w:rPr>
          <w:rFonts w:ascii="Times New Roman"/>
          <w:sz w:val="20"/>
        </w:rPr>
      </w:pPr>
    </w:p>
    <w:p w:rsidR="00C61C4F" w:rsidRDefault="00A55E52">
      <w:pPr>
        <w:pStyle w:val="BodyText"/>
        <w:ind w:left="7818"/>
        <w:rPr>
          <w:rFonts w:ascii="Times New Roman"/>
          <w:sz w:val="20"/>
        </w:rPr>
      </w:pPr>
      <w:r>
        <w:rPr>
          <w:rFonts w:ascii="Times New Roman"/>
          <w:noProof/>
          <w:sz w:val="20"/>
          <w:lang w:bidi="ar-SA"/>
        </w:rPr>
        <w:drawing>
          <wp:inline distT="0" distB="0" distL="0" distR="0">
            <wp:extent cx="866775" cy="741321"/>
            <wp:effectExtent l="0" t="0" r="0" b="190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75098" cy="748440"/>
                    </a:xfrm>
                    <a:prstGeom prst="rect">
                      <a:avLst/>
                    </a:prstGeom>
                  </pic:spPr>
                </pic:pic>
              </a:graphicData>
            </a:graphic>
          </wp:inline>
        </w:drawing>
      </w:r>
    </w:p>
    <w:p w:rsidR="0020332B" w:rsidRDefault="0020332B">
      <w:pPr>
        <w:pStyle w:val="BodyText"/>
        <w:ind w:left="7818"/>
        <w:rPr>
          <w:rFonts w:ascii="Times New Roman"/>
          <w:sz w:val="20"/>
        </w:rPr>
      </w:pPr>
      <w:r w:rsidRPr="000861FA">
        <w:rPr>
          <w:noProof/>
          <w:lang w:bidi="ar-SA"/>
        </w:rPr>
        <w:drawing>
          <wp:anchor distT="0" distB="0" distL="114300" distR="114300" simplePos="0" relativeHeight="251661312" behindDoc="0" locked="0" layoutInCell="1" allowOverlap="1" wp14:anchorId="12756A2C" wp14:editId="3D76DB19">
            <wp:simplePos x="0" y="0"/>
            <wp:positionH relativeFrom="margin">
              <wp:posOffset>-419100</wp:posOffset>
            </wp:positionH>
            <wp:positionV relativeFrom="paragraph">
              <wp:posOffset>139065</wp:posOffset>
            </wp:positionV>
            <wp:extent cx="6886575" cy="2571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20332B" w:rsidRDefault="0020332B">
      <w:pPr>
        <w:pStyle w:val="BodyText"/>
        <w:ind w:left="7818"/>
        <w:rPr>
          <w:rFonts w:ascii="Times New Roman"/>
          <w:sz w:val="20"/>
        </w:rPr>
      </w:pPr>
    </w:p>
    <w:p w:rsidR="0020332B" w:rsidRDefault="0020332B" w:rsidP="0020332B">
      <w:pPr>
        <w:tabs>
          <w:tab w:val="left" w:pos="7610"/>
        </w:tabs>
        <w:rPr>
          <w:sz w:val="24"/>
        </w:rPr>
      </w:pPr>
    </w:p>
    <w:p w:rsidR="003849B4" w:rsidRPr="003849B4" w:rsidRDefault="003849B4" w:rsidP="003849B4">
      <w:pPr>
        <w:pStyle w:val="ListParagraph"/>
        <w:numPr>
          <w:ilvl w:val="0"/>
          <w:numId w:val="16"/>
        </w:numPr>
        <w:tabs>
          <w:tab w:val="left" w:pos="7610"/>
        </w:tabs>
        <w:rPr>
          <w:sz w:val="24"/>
        </w:rPr>
      </w:pPr>
      <w:r>
        <w:rPr>
          <w:b/>
          <w:sz w:val="24"/>
        </w:rPr>
        <w:t>Standard of Service</w:t>
      </w:r>
      <w:r w:rsidRPr="000861FA">
        <w:rPr>
          <w:noProof/>
          <w:lang w:bidi="ar-SA"/>
        </w:rPr>
        <w:drawing>
          <wp:anchor distT="0" distB="0" distL="114300" distR="114300" simplePos="0" relativeHeight="251663360" behindDoc="0" locked="0" layoutInCell="1" allowOverlap="1" wp14:anchorId="12756A2C" wp14:editId="3D76DB19">
            <wp:simplePos x="0" y="0"/>
            <wp:positionH relativeFrom="margin">
              <wp:posOffset>-419100</wp:posOffset>
            </wp:positionH>
            <wp:positionV relativeFrom="paragraph">
              <wp:posOffset>174625</wp:posOffset>
            </wp:positionV>
            <wp:extent cx="6886575" cy="2571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3849B4" w:rsidRDefault="003849B4" w:rsidP="003849B4">
      <w:pPr>
        <w:tabs>
          <w:tab w:val="left" w:pos="7610"/>
        </w:tabs>
        <w:ind w:left="-709"/>
        <w:rPr>
          <w:sz w:val="24"/>
        </w:rPr>
      </w:pPr>
    </w:p>
    <w:p w:rsidR="003849B4" w:rsidRDefault="003849B4" w:rsidP="003849B4">
      <w:pPr>
        <w:tabs>
          <w:tab w:val="left" w:pos="7610"/>
        </w:tabs>
        <w:ind w:left="-709"/>
        <w:rPr>
          <w:sz w:val="24"/>
        </w:rPr>
      </w:pPr>
    </w:p>
    <w:p w:rsidR="003849B4" w:rsidRDefault="003849B4" w:rsidP="003849B4">
      <w:pPr>
        <w:pStyle w:val="TableParagraph"/>
        <w:numPr>
          <w:ilvl w:val="1"/>
          <w:numId w:val="16"/>
        </w:numPr>
        <w:rPr>
          <w:i/>
          <w:sz w:val="24"/>
        </w:rPr>
      </w:pPr>
      <w:r>
        <w:rPr>
          <w:sz w:val="24"/>
        </w:rPr>
        <w:t xml:space="preserve">The standard of service provided will be in accordance with the </w:t>
      </w:r>
      <w:r w:rsidRPr="003849B4">
        <w:rPr>
          <w:i/>
          <w:sz w:val="24"/>
        </w:rPr>
        <w:t xml:space="preserve">National guideline </w:t>
      </w:r>
    </w:p>
    <w:p w:rsidR="003849B4" w:rsidRDefault="003849B4" w:rsidP="003849B4">
      <w:pPr>
        <w:pStyle w:val="TableParagraph"/>
        <w:ind w:left="760"/>
        <w:rPr>
          <w:sz w:val="24"/>
        </w:rPr>
      </w:pPr>
      <w:proofErr w:type="gramStart"/>
      <w:r w:rsidRPr="003849B4">
        <w:rPr>
          <w:i/>
          <w:sz w:val="24"/>
        </w:rPr>
        <w:t>for</w:t>
      </w:r>
      <w:proofErr w:type="gramEnd"/>
      <w:r w:rsidRPr="003849B4">
        <w:rPr>
          <w:i/>
          <w:sz w:val="24"/>
        </w:rPr>
        <w:t xml:space="preserve"> services providing injecting equipment 2010</w:t>
      </w:r>
      <w:r>
        <w:rPr>
          <w:rStyle w:val="FootnoteReference"/>
          <w:i/>
          <w:sz w:val="24"/>
        </w:rPr>
        <w:footnoteReference w:id="1"/>
      </w:r>
      <w:r w:rsidRPr="00A0181E">
        <w:rPr>
          <w:sz w:val="24"/>
        </w:rPr>
        <w:t xml:space="preserve"> (</w:t>
      </w:r>
      <w:hyperlink r:id="rId10" w:history="1">
        <w:r w:rsidRPr="00A0181E">
          <w:rPr>
            <w:rStyle w:val="Hyperlink"/>
            <w:color w:val="548DD4" w:themeColor="text2" w:themeTint="99"/>
            <w:sz w:val="24"/>
          </w:rPr>
          <w:t>www.scotland.gov.uk</w:t>
        </w:r>
      </w:hyperlink>
      <w:r w:rsidRPr="00A0181E">
        <w:rPr>
          <w:color w:val="548DD4" w:themeColor="text2" w:themeTint="99"/>
          <w:sz w:val="24"/>
        </w:rPr>
        <w:t>)</w:t>
      </w:r>
      <w:r>
        <w:rPr>
          <w:color w:val="548DD4" w:themeColor="text2" w:themeTint="99"/>
          <w:sz w:val="24"/>
        </w:rPr>
        <w:t xml:space="preserve"> </w:t>
      </w:r>
      <w:r>
        <w:rPr>
          <w:color w:val="000000" w:themeColor="text1"/>
          <w:sz w:val="24"/>
        </w:rPr>
        <w:t xml:space="preserve">as per guidance issued by the Royal Pharmaceutical Society in Medicines, Ethics and Practice (section 3.7.14).  In addition, the service will comply with the </w:t>
      </w:r>
      <w:hyperlink r:id="rId11" w:history="1">
        <w:r w:rsidRPr="00027E7A">
          <w:rPr>
            <w:rStyle w:val="Hyperlink"/>
            <w:sz w:val="24"/>
          </w:rPr>
          <w:t>Good Practice Guidance on the Provision of Injecting Equipment (2021)</w:t>
        </w:r>
      </w:hyperlink>
      <w:r>
        <w:rPr>
          <w:sz w:val="24"/>
        </w:rPr>
        <w:t xml:space="preserve"> where this provides an update to the 2010 document. </w:t>
      </w:r>
    </w:p>
    <w:p w:rsidR="003849B4" w:rsidRDefault="003849B4" w:rsidP="003849B4">
      <w:pPr>
        <w:pStyle w:val="TableParagraph"/>
        <w:ind w:left="760"/>
        <w:rPr>
          <w:b/>
          <w:sz w:val="24"/>
        </w:rPr>
      </w:pPr>
      <w:r w:rsidRPr="000861FA">
        <w:rPr>
          <w:noProof/>
          <w:lang w:bidi="ar-SA"/>
        </w:rPr>
        <w:drawing>
          <wp:anchor distT="0" distB="0" distL="114300" distR="114300" simplePos="0" relativeHeight="251665408" behindDoc="0" locked="0" layoutInCell="1" allowOverlap="1" wp14:anchorId="08D655A7" wp14:editId="21A0A184">
            <wp:simplePos x="0" y="0"/>
            <wp:positionH relativeFrom="margin">
              <wp:posOffset>-374650</wp:posOffset>
            </wp:positionH>
            <wp:positionV relativeFrom="paragraph">
              <wp:posOffset>41275</wp:posOffset>
            </wp:positionV>
            <wp:extent cx="6886575" cy="2571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3849B4" w:rsidRDefault="003849B4" w:rsidP="003849B4">
      <w:pPr>
        <w:tabs>
          <w:tab w:val="left" w:pos="7610"/>
        </w:tabs>
        <w:rPr>
          <w:i/>
          <w:color w:val="000000" w:themeColor="text1"/>
          <w:sz w:val="24"/>
        </w:rPr>
      </w:pPr>
    </w:p>
    <w:p w:rsidR="003849B4" w:rsidRDefault="003849B4" w:rsidP="003849B4">
      <w:pPr>
        <w:pStyle w:val="ListParagraph"/>
        <w:numPr>
          <w:ilvl w:val="0"/>
          <w:numId w:val="16"/>
        </w:numPr>
        <w:tabs>
          <w:tab w:val="left" w:pos="7610"/>
        </w:tabs>
        <w:rPr>
          <w:b/>
          <w:color w:val="000000" w:themeColor="text1"/>
          <w:sz w:val="24"/>
        </w:rPr>
      </w:pPr>
      <w:r w:rsidRPr="000861FA">
        <w:rPr>
          <w:noProof/>
          <w:lang w:bidi="ar-SA"/>
        </w:rPr>
        <w:drawing>
          <wp:anchor distT="0" distB="0" distL="114300" distR="114300" simplePos="0" relativeHeight="251667456" behindDoc="0" locked="0" layoutInCell="1" allowOverlap="1" wp14:anchorId="08D655A7" wp14:editId="21A0A184">
            <wp:simplePos x="0" y="0"/>
            <wp:positionH relativeFrom="margin">
              <wp:posOffset>-419100</wp:posOffset>
            </wp:positionH>
            <wp:positionV relativeFrom="paragraph">
              <wp:posOffset>174625</wp:posOffset>
            </wp:positionV>
            <wp:extent cx="6886575" cy="2571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24"/>
        </w:rPr>
        <w:t>Service to be provided</w:t>
      </w:r>
    </w:p>
    <w:p w:rsidR="003849B4" w:rsidRDefault="003849B4" w:rsidP="003849B4">
      <w:pPr>
        <w:pStyle w:val="ListParagraph"/>
        <w:tabs>
          <w:tab w:val="left" w:pos="7610"/>
        </w:tabs>
        <w:ind w:left="720"/>
        <w:rPr>
          <w:b/>
          <w:color w:val="000000" w:themeColor="text1"/>
          <w:sz w:val="24"/>
        </w:rPr>
      </w:pPr>
    </w:p>
    <w:p w:rsidR="003849B4" w:rsidRDefault="003849B4" w:rsidP="003849B4">
      <w:pPr>
        <w:pStyle w:val="ListParagraph"/>
        <w:tabs>
          <w:tab w:val="left" w:pos="7610"/>
        </w:tabs>
        <w:ind w:left="720"/>
        <w:rPr>
          <w:b/>
          <w:color w:val="000000" w:themeColor="text1"/>
          <w:sz w:val="24"/>
        </w:rPr>
      </w:pPr>
    </w:p>
    <w:p w:rsidR="003849B4" w:rsidRDefault="003849B4" w:rsidP="003849B4">
      <w:pPr>
        <w:pStyle w:val="ListParagraph"/>
        <w:numPr>
          <w:ilvl w:val="1"/>
          <w:numId w:val="16"/>
        </w:numPr>
        <w:tabs>
          <w:tab w:val="left" w:pos="7610"/>
        </w:tabs>
        <w:rPr>
          <w:color w:val="000000" w:themeColor="text1"/>
          <w:sz w:val="24"/>
        </w:rPr>
      </w:pPr>
      <w:r>
        <w:rPr>
          <w:color w:val="000000" w:themeColor="text1"/>
          <w:sz w:val="24"/>
        </w:rPr>
        <w:t xml:space="preserve">The aim of the scheme is to minimise the spread of HIV, Hepatitis B and C and other blood borne diseases which can occur as a consequence of people who inject drugs sharing needles, syringes and </w:t>
      </w:r>
      <w:r w:rsidR="00F6312C">
        <w:rPr>
          <w:color w:val="000000" w:themeColor="text1"/>
          <w:sz w:val="24"/>
        </w:rPr>
        <w:t>paraphernalia</w:t>
      </w:r>
      <w:r>
        <w:rPr>
          <w:color w:val="000000" w:themeColor="text1"/>
          <w:sz w:val="24"/>
        </w:rPr>
        <w:t>.</w:t>
      </w:r>
    </w:p>
    <w:p w:rsidR="003849B4" w:rsidRPr="003849B4" w:rsidRDefault="003849B4" w:rsidP="003849B4">
      <w:pPr>
        <w:tabs>
          <w:tab w:val="left" w:pos="7610"/>
        </w:tabs>
        <w:rPr>
          <w:color w:val="000000" w:themeColor="text1"/>
          <w:sz w:val="24"/>
        </w:rPr>
      </w:pPr>
    </w:p>
    <w:p w:rsidR="003849B4" w:rsidRDefault="003849B4" w:rsidP="003849B4">
      <w:pPr>
        <w:pStyle w:val="ListParagraph"/>
        <w:tabs>
          <w:tab w:val="left" w:pos="7610"/>
        </w:tabs>
        <w:ind w:left="760"/>
        <w:rPr>
          <w:color w:val="000000" w:themeColor="text1"/>
          <w:sz w:val="24"/>
        </w:rPr>
      </w:pPr>
      <w:r>
        <w:rPr>
          <w:color w:val="000000" w:themeColor="text1"/>
          <w:sz w:val="24"/>
        </w:rPr>
        <w:t>The scheme additionally seeks to prevent other health harms rela</w:t>
      </w:r>
      <w:r w:rsidR="003B00B1">
        <w:rPr>
          <w:color w:val="000000" w:themeColor="text1"/>
          <w:sz w:val="24"/>
        </w:rPr>
        <w:t>ting to drug use such as overdo</w:t>
      </w:r>
      <w:r>
        <w:rPr>
          <w:color w:val="000000" w:themeColor="text1"/>
          <w:sz w:val="24"/>
        </w:rPr>
        <w:t>s</w:t>
      </w:r>
      <w:r w:rsidR="003B00B1">
        <w:rPr>
          <w:color w:val="000000" w:themeColor="text1"/>
          <w:sz w:val="24"/>
        </w:rPr>
        <w:t>e</w:t>
      </w:r>
      <w:r>
        <w:rPr>
          <w:color w:val="000000" w:themeColor="text1"/>
          <w:sz w:val="24"/>
        </w:rPr>
        <w:t>, bacterial infections and wounds.</w:t>
      </w:r>
    </w:p>
    <w:p w:rsidR="003849B4" w:rsidRDefault="003849B4" w:rsidP="003849B4">
      <w:pPr>
        <w:pStyle w:val="ListParagraph"/>
        <w:tabs>
          <w:tab w:val="left" w:pos="7610"/>
        </w:tabs>
        <w:ind w:left="760"/>
        <w:rPr>
          <w:color w:val="000000" w:themeColor="text1"/>
          <w:sz w:val="24"/>
        </w:rPr>
      </w:pPr>
    </w:p>
    <w:p w:rsidR="003849B4" w:rsidRDefault="003849B4" w:rsidP="003849B4">
      <w:pPr>
        <w:pStyle w:val="ListParagraph"/>
        <w:numPr>
          <w:ilvl w:val="2"/>
          <w:numId w:val="16"/>
        </w:numPr>
        <w:tabs>
          <w:tab w:val="left" w:pos="7610"/>
        </w:tabs>
        <w:rPr>
          <w:color w:val="000000" w:themeColor="text1"/>
          <w:sz w:val="24"/>
        </w:rPr>
      </w:pPr>
      <w:r>
        <w:rPr>
          <w:color w:val="000000" w:themeColor="text1"/>
          <w:sz w:val="24"/>
        </w:rPr>
        <w:t>Historical guidance regarding the provision of injecting equipment is provided in the following documents: NHS Circular 1992 (PCS</w:t>
      </w:r>
      <w:r w:rsidR="00F6312C">
        <w:rPr>
          <w:color w:val="000000" w:themeColor="text1"/>
          <w:sz w:val="24"/>
        </w:rPr>
        <w:t>) 3</w:t>
      </w:r>
      <w:r>
        <w:rPr>
          <w:color w:val="000000" w:themeColor="text1"/>
          <w:sz w:val="24"/>
        </w:rPr>
        <w:t>; NHS MEL (1994)113; MEL 1998 (55) and NHS HDL 2002(90).</w:t>
      </w:r>
    </w:p>
    <w:p w:rsidR="00C3362B" w:rsidRDefault="00C3362B" w:rsidP="00C3362B">
      <w:pPr>
        <w:pStyle w:val="ListParagraph"/>
        <w:tabs>
          <w:tab w:val="left" w:pos="7610"/>
        </w:tabs>
        <w:ind w:left="1080"/>
        <w:rPr>
          <w:color w:val="000000" w:themeColor="text1"/>
          <w:sz w:val="24"/>
        </w:rPr>
      </w:pPr>
    </w:p>
    <w:p w:rsidR="003849B4" w:rsidRPr="00C3362B" w:rsidRDefault="00C3362B" w:rsidP="003849B4">
      <w:pPr>
        <w:pStyle w:val="ListParagraph"/>
        <w:numPr>
          <w:ilvl w:val="1"/>
          <w:numId w:val="16"/>
        </w:numPr>
        <w:tabs>
          <w:tab w:val="left" w:pos="7610"/>
        </w:tabs>
        <w:rPr>
          <w:color w:val="000000" w:themeColor="text1"/>
          <w:sz w:val="24"/>
        </w:rPr>
      </w:pPr>
      <w:r>
        <w:rPr>
          <w:i/>
          <w:color w:val="000000" w:themeColor="text1"/>
          <w:sz w:val="24"/>
        </w:rPr>
        <w:t>Injecting Equipment Provision Manual</w:t>
      </w:r>
    </w:p>
    <w:p w:rsidR="00C3362B" w:rsidRPr="00C3362B" w:rsidRDefault="00C3362B" w:rsidP="00C3362B">
      <w:pPr>
        <w:pStyle w:val="ListParagraph"/>
        <w:tabs>
          <w:tab w:val="left" w:pos="7610"/>
        </w:tabs>
        <w:ind w:left="760"/>
        <w:rPr>
          <w:color w:val="000000" w:themeColor="text1"/>
          <w:sz w:val="24"/>
        </w:rPr>
      </w:pPr>
    </w:p>
    <w:p w:rsidR="00C3362B" w:rsidRDefault="00C3362B" w:rsidP="00C3362B">
      <w:pPr>
        <w:pStyle w:val="ListParagraph"/>
        <w:numPr>
          <w:ilvl w:val="2"/>
          <w:numId w:val="16"/>
        </w:numPr>
        <w:tabs>
          <w:tab w:val="left" w:pos="7610"/>
        </w:tabs>
        <w:rPr>
          <w:i/>
          <w:color w:val="000000" w:themeColor="text1"/>
          <w:sz w:val="24"/>
        </w:rPr>
      </w:pPr>
      <w:r>
        <w:rPr>
          <w:i/>
          <w:color w:val="000000" w:themeColor="text1"/>
          <w:sz w:val="24"/>
        </w:rPr>
        <w:t>An injecting Equipment Provision Service Manual will be available in each pharmacy and will include information relating to:</w:t>
      </w:r>
    </w:p>
    <w:p w:rsidR="00C3362B" w:rsidRDefault="00C3362B" w:rsidP="00C3362B">
      <w:pPr>
        <w:pStyle w:val="ListParagraph"/>
        <w:numPr>
          <w:ilvl w:val="0"/>
          <w:numId w:val="17"/>
        </w:numPr>
        <w:tabs>
          <w:tab w:val="left" w:pos="7610"/>
        </w:tabs>
        <w:rPr>
          <w:color w:val="000000" w:themeColor="text1"/>
          <w:sz w:val="24"/>
        </w:rPr>
      </w:pPr>
      <w:r>
        <w:rPr>
          <w:color w:val="000000" w:themeColor="text1"/>
          <w:sz w:val="24"/>
        </w:rPr>
        <w:t>The goals of the service;</w:t>
      </w:r>
    </w:p>
    <w:p w:rsidR="00C3362B" w:rsidRDefault="00C3362B" w:rsidP="00C3362B">
      <w:pPr>
        <w:pStyle w:val="ListParagraph"/>
        <w:numPr>
          <w:ilvl w:val="0"/>
          <w:numId w:val="17"/>
        </w:numPr>
        <w:tabs>
          <w:tab w:val="left" w:pos="7610"/>
        </w:tabs>
        <w:rPr>
          <w:color w:val="000000" w:themeColor="text1"/>
          <w:sz w:val="24"/>
        </w:rPr>
      </w:pPr>
      <w:r>
        <w:rPr>
          <w:color w:val="000000" w:themeColor="text1"/>
          <w:sz w:val="24"/>
        </w:rPr>
        <w:t>Staff competence</w:t>
      </w:r>
    </w:p>
    <w:p w:rsidR="00C3362B" w:rsidRDefault="00C3362B" w:rsidP="00C3362B">
      <w:pPr>
        <w:pStyle w:val="ListParagraph"/>
        <w:numPr>
          <w:ilvl w:val="0"/>
          <w:numId w:val="17"/>
        </w:numPr>
        <w:tabs>
          <w:tab w:val="left" w:pos="7610"/>
        </w:tabs>
        <w:rPr>
          <w:color w:val="000000" w:themeColor="text1"/>
          <w:sz w:val="24"/>
        </w:rPr>
      </w:pPr>
      <w:r>
        <w:rPr>
          <w:color w:val="000000" w:themeColor="text1"/>
          <w:sz w:val="24"/>
        </w:rPr>
        <w:t>Provision of additional information and care;</w:t>
      </w:r>
    </w:p>
    <w:p w:rsidR="00C3362B" w:rsidRDefault="00C3362B" w:rsidP="00C3362B">
      <w:pPr>
        <w:pStyle w:val="ListParagraph"/>
        <w:numPr>
          <w:ilvl w:val="0"/>
          <w:numId w:val="17"/>
        </w:numPr>
        <w:tabs>
          <w:tab w:val="left" w:pos="7610"/>
        </w:tabs>
        <w:rPr>
          <w:color w:val="000000" w:themeColor="text1"/>
          <w:sz w:val="24"/>
        </w:rPr>
      </w:pPr>
      <w:r>
        <w:rPr>
          <w:color w:val="000000" w:themeColor="text1"/>
          <w:sz w:val="24"/>
        </w:rPr>
        <w:t>Minimising the risk to staff and members of the public;</w:t>
      </w:r>
    </w:p>
    <w:p w:rsidR="00C3362B" w:rsidRDefault="00C3362B" w:rsidP="00C3362B">
      <w:pPr>
        <w:pStyle w:val="ListParagraph"/>
        <w:numPr>
          <w:ilvl w:val="0"/>
          <w:numId w:val="17"/>
        </w:numPr>
        <w:tabs>
          <w:tab w:val="left" w:pos="7610"/>
        </w:tabs>
        <w:rPr>
          <w:color w:val="000000" w:themeColor="text1"/>
          <w:sz w:val="24"/>
        </w:rPr>
      </w:pPr>
      <w:r>
        <w:rPr>
          <w:color w:val="000000" w:themeColor="text1"/>
          <w:sz w:val="24"/>
        </w:rPr>
        <w:t>Ensuring safe and secure disposal of used injecting equipment.</w:t>
      </w:r>
    </w:p>
    <w:p w:rsidR="00C3362B" w:rsidRDefault="00C3362B" w:rsidP="00C3362B">
      <w:pPr>
        <w:pStyle w:val="ListParagraph"/>
        <w:tabs>
          <w:tab w:val="left" w:pos="7610"/>
        </w:tabs>
        <w:ind w:left="720"/>
        <w:rPr>
          <w:color w:val="000000" w:themeColor="text1"/>
          <w:sz w:val="24"/>
        </w:rPr>
      </w:pPr>
    </w:p>
    <w:p w:rsidR="00C3362B" w:rsidRDefault="00C3362B" w:rsidP="00C3362B">
      <w:pPr>
        <w:pStyle w:val="ListParagraph"/>
        <w:numPr>
          <w:ilvl w:val="1"/>
          <w:numId w:val="16"/>
        </w:numPr>
        <w:tabs>
          <w:tab w:val="left" w:pos="7610"/>
        </w:tabs>
        <w:rPr>
          <w:i/>
          <w:color w:val="000000" w:themeColor="text1"/>
          <w:sz w:val="24"/>
        </w:rPr>
      </w:pPr>
      <w:r>
        <w:rPr>
          <w:i/>
          <w:color w:val="000000" w:themeColor="text1"/>
          <w:sz w:val="24"/>
        </w:rPr>
        <w:t>Injecting Equipment Provision Process</w:t>
      </w:r>
    </w:p>
    <w:p w:rsidR="00C3362B" w:rsidRDefault="00C3362B" w:rsidP="00C3362B">
      <w:pPr>
        <w:pStyle w:val="ListParagraph"/>
        <w:tabs>
          <w:tab w:val="left" w:pos="7610"/>
        </w:tabs>
        <w:ind w:left="760"/>
        <w:rPr>
          <w:i/>
          <w:color w:val="000000" w:themeColor="text1"/>
          <w:sz w:val="24"/>
        </w:rPr>
      </w:pPr>
    </w:p>
    <w:p w:rsidR="00C3362B" w:rsidRDefault="00C3362B" w:rsidP="00C3362B">
      <w:pPr>
        <w:pStyle w:val="ListParagraph"/>
        <w:numPr>
          <w:ilvl w:val="2"/>
          <w:numId w:val="16"/>
        </w:numPr>
        <w:tabs>
          <w:tab w:val="left" w:pos="7610"/>
        </w:tabs>
        <w:rPr>
          <w:color w:val="000000" w:themeColor="text1"/>
          <w:sz w:val="24"/>
        </w:rPr>
      </w:pPr>
      <w:r w:rsidRPr="00C3362B">
        <w:rPr>
          <w:color w:val="000000" w:themeColor="text1"/>
          <w:sz w:val="24"/>
        </w:rPr>
        <w:t xml:space="preserve">The Responsible Pharmacist will operate a safe and robust system for the </w:t>
      </w:r>
    </w:p>
    <w:p w:rsidR="00C3362B" w:rsidRDefault="00C3362B" w:rsidP="00C3362B">
      <w:pPr>
        <w:pStyle w:val="ListParagraph"/>
        <w:tabs>
          <w:tab w:val="left" w:pos="7610"/>
        </w:tabs>
        <w:ind w:left="1080"/>
        <w:rPr>
          <w:color w:val="000000" w:themeColor="text1"/>
          <w:sz w:val="24"/>
        </w:rPr>
      </w:pPr>
      <w:proofErr w:type="gramStart"/>
      <w:r w:rsidRPr="00C3362B">
        <w:rPr>
          <w:color w:val="000000" w:themeColor="text1"/>
          <w:sz w:val="24"/>
        </w:rPr>
        <w:t>provision</w:t>
      </w:r>
      <w:proofErr w:type="gramEnd"/>
      <w:r w:rsidRPr="00C3362B">
        <w:rPr>
          <w:color w:val="000000" w:themeColor="text1"/>
          <w:sz w:val="24"/>
        </w:rPr>
        <w:t xml:space="preserve"> of a service in keeping with the principles and standards provided by the </w:t>
      </w:r>
      <w:proofErr w:type="spellStart"/>
      <w:r w:rsidRPr="00C3362B">
        <w:rPr>
          <w:color w:val="000000" w:themeColor="text1"/>
          <w:sz w:val="24"/>
        </w:rPr>
        <w:t>GPhC</w:t>
      </w:r>
      <w:proofErr w:type="spellEnd"/>
      <w:r w:rsidRPr="00C3362B">
        <w:rPr>
          <w:color w:val="000000" w:themeColor="text1"/>
          <w:sz w:val="24"/>
        </w:rPr>
        <w:t xml:space="preserve"> for registered pharmacies.  All service activities will be under the supervision of the Responsible Pharmacist.</w:t>
      </w:r>
    </w:p>
    <w:p w:rsidR="00C3362B" w:rsidRDefault="00C3362B" w:rsidP="00C3362B">
      <w:pPr>
        <w:pStyle w:val="ListParagraph"/>
        <w:tabs>
          <w:tab w:val="left" w:pos="7610"/>
        </w:tabs>
        <w:ind w:left="1080"/>
        <w:rPr>
          <w:color w:val="000000" w:themeColor="text1"/>
          <w:sz w:val="24"/>
        </w:rPr>
      </w:pPr>
    </w:p>
    <w:p w:rsidR="00BD633B" w:rsidRDefault="00BD633B" w:rsidP="00C3362B">
      <w:pPr>
        <w:pStyle w:val="ListParagraph"/>
        <w:tabs>
          <w:tab w:val="left" w:pos="7610"/>
        </w:tabs>
        <w:ind w:left="1080"/>
        <w:rPr>
          <w:color w:val="000000" w:themeColor="text1"/>
          <w:sz w:val="24"/>
        </w:rPr>
      </w:pPr>
    </w:p>
    <w:p w:rsidR="00BD633B" w:rsidRDefault="00BD633B" w:rsidP="00C3362B">
      <w:pPr>
        <w:pStyle w:val="ListParagraph"/>
        <w:tabs>
          <w:tab w:val="left" w:pos="7610"/>
        </w:tabs>
        <w:ind w:left="1080"/>
        <w:rPr>
          <w:color w:val="000000" w:themeColor="text1"/>
          <w:sz w:val="24"/>
        </w:rPr>
      </w:pPr>
    </w:p>
    <w:p w:rsidR="00BD633B" w:rsidRDefault="00BD633B" w:rsidP="00C3362B">
      <w:pPr>
        <w:pStyle w:val="ListParagraph"/>
        <w:tabs>
          <w:tab w:val="left" w:pos="7610"/>
        </w:tabs>
        <w:ind w:left="1080"/>
        <w:rPr>
          <w:color w:val="000000" w:themeColor="text1"/>
          <w:sz w:val="24"/>
        </w:rPr>
      </w:pPr>
    </w:p>
    <w:p w:rsidR="00BD633B" w:rsidRDefault="00BD633B" w:rsidP="00C3362B">
      <w:pPr>
        <w:pStyle w:val="ListParagraph"/>
        <w:tabs>
          <w:tab w:val="left" w:pos="7610"/>
        </w:tabs>
        <w:ind w:left="1080"/>
        <w:rPr>
          <w:color w:val="000000" w:themeColor="text1"/>
          <w:sz w:val="24"/>
        </w:rPr>
      </w:pPr>
    </w:p>
    <w:p w:rsidR="00C3362B" w:rsidRDefault="00C3362B" w:rsidP="00C3362B">
      <w:pPr>
        <w:pStyle w:val="ListParagraph"/>
        <w:tabs>
          <w:tab w:val="left" w:pos="7610"/>
        </w:tabs>
        <w:ind w:left="1080"/>
        <w:rPr>
          <w:color w:val="000000" w:themeColor="text1"/>
          <w:sz w:val="24"/>
        </w:rPr>
      </w:pPr>
      <w:r>
        <w:rPr>
          <w:color w:val="000000" w:themeColor="text1"/>
          <w:sz w:val="24"/>
        </w:rPr>
        <w:t xml:space="preserve">Sufficient equipment stores will be maintained to prevent disruption of service availability under normal operating conditions and timely equipment orders will be placed in line with guidance provided by the Health Board. </w:t>
      </w:r>
    </w:p>
    <w:p w:rsidR="00C3362B" w:rsidRDefault="00C3362B" w:rsidP="00C3362B">
      <w:pPr>
        <w:pStyle w:val="ListParagraph"/>
        <w:tabs>
          <w:tab w:val="left" w:pos="7610"/>
        </w:tabs>
        <w:ind w:left="1080"/>
        <w:rPr>
          <w:color w:val="000000" w:themeColor="text1"/>
          <w:sz w:val="24"/>
        </w:rPr>
      </w:pPr>
    </w:p>
    <w:p w:rsidR="00C3362B" w:rsidRDefault="00C3362B" w:rsidP="00C3362B">
      <w:pPr>
        <w:pStyle w:val="ListParagraph"/>
        <w:tabs>
          <w:tab w:val="left" w:pos="7610"/>
        </w:tabs>
        <w:ind w:left="1080"/>
        <w:rPr>
          <w:color w:val="000000" w:themeColor="text1"/>
          <w:sz w:val="24"/>
        </w:rPr>
      </w:pPr>
      <w:r>
        <w:rPr>
          <w:color w:val="000000" w:themeColor="text1"/>
          <w:sz w:val="24"/>
        </w:rPr>
        <w:t xml:space="preserve">Where practicable, NHS Specialist staff will attend IEP pharmacy sites to provide additional support to service users and pharmacy staff.  This may include activities such as providing patient consultations, additional health needs assessments and care, </w:t>
      </w:r>
      <w:r w:rsidRPr="00494B97">
        <w:rPr>
          <w:color w:val="000000" w:themeColor="text1"/>
          <w:sz w:val="24"/>
        </w:rPr>
        <w:t>wou</w:t>
      </w:r>
      <w:r w:rsidR="00494B97">
        <w:rPr>
          <w:color w:val="000000" w:themeColor="text1"/>
          <w:sz w:val="24"/>
        </w:rPr>
        <w:t>n</w:t>
      </w:r>
      <w:r w:rsidRPr="00494B97">
        <w:rPr>
          <w:color w:val="000000" w:themeColor="text1"/>
          <w:sz w:val="24"/>
        </w:rPr>
        <w:t>d</w:t>
      </w:r>
      <w:r>
        <w:rPr>
          <w:color w:val="000000" w:themeColor="text1"/>
          <w:sz w:val="24"/>
        </w:rPr>
        <w:t xml:space="preserve"> management, patient testing, </w:t>
      </w:r>
      <w:r w:rsidR="00F6312C">
        <w:rPr>
          <w:color w:val="000000" w:themeColor="text1"/>
          <w:sz w:val="24"/>
        </w:rPr>
        <w:t>sexual</w:t>
      </w:r>
      <w:r>
        <w:rPr>
          <w:color w:val="000000" w:themeColor="text1"/>
          <w:sz w:val="24"/>
        </w:rPr>
        <w:t xml:space="preserve"> health interventions or pharmacy staff training.</w:t>
      </w:r>
    </w:p>
    <w:p w:rsidR="00C3362B" w:rsidRDefault="00C3362B" w:rsidP="00C3362B">
      <w:pPr>
        <w:pStyle w:val="ListParagraph"/>
        <w:tabs>
          <w:tab w:val="left" w:pos="7610"/>
        </w:tabs>
        <w:ind w:left="1080"/>
        <w:rPr>
          <w:color w:val="000000" w:themeColor="text1"/>
          <w:sz w:val="24"/>
        </w:rPr>
      </w:pPr>
    </w:p>
    <w:p w:rsidR="00C3362B" w:rsidRDefault="00C3362B" w:rsidP="00C3362B">
      <w:pPr>
        <w:pStyle w:val="ListParagraph"/>
        <w:numPr>
          <w:ilvl w:val="2"/>
          <w:numId w:val="16"/>
        </w:numPr>
        <w:tabs>
          <w:tab w:val="left" w:pos="7610"/>
        </w:tabs>
        <w:rPr>
          <w:color w:val="000000" w:themeColor="text1"/>
          <w:sz w:val="24"/>
        </w:rPr>
      </w:pPr>
      <w:r>
        <w:rPr>
          <w:color w:val="000000" w:themeColor="text1"/>
          <w:sz w:val="24"/>
        </w:rPr>
        <w:t>Used equipment will be accepted for disposal only in approved sharps containers.</w:t>
      </w:r>
    </w:p>
    <w:p w:rsidR="00C3362B" w:rsidRDefault="00C3362B" w:rsidP="00C3362B">
      <w:pPr>
        <w:pStyle w:val="ListParagraph"/>
        <w:tabs>
          <w:tab w:val="left" w:pos="7610"/>
        </w:tabs>
        <w:ind w:left="1080"/>
        <w:rPr>
          <w:color w:val="000000" w:themeColor="text1"/>
          <w:sz w:val="24"/>
        </w:rPr>
      </w:pPr>
    </w:p>
    <w:p w:rsidR="00C3362B" w:rsidRDefault="00C3362B" w:rsidP="00C3362B">
      <w:pPr>
        <w:pStyle w:val="ListParagraph"/>
        <w:numPr>
          <w:ilvl w:val="2"/>
          <w:numId w:val="16"/>
        </w:numPr>
        <w:tabs>
          <w:tab w:val="left" w:pos="7610"/>
        </w:tabs>
        <w:rPr>
          <w:color w:val="000000" w:themeColor="text1"/>
          <w:sz w:val="24"/>
        </w:rPr>
      </w:pPr>
      <w:r>
        <w:rPr>
          <w:b/>
          <w:color w:val="000000" w:themeColor="text1"/>
          <w:sz w:val="24"/>
        </w:rPr>
        <w:t xml:space="preserve">No one </w:t>
      </w:r>
      <w:r>
        <w:rPr>
          <w:color w:val="000000" w:themeColor="text1"/>
          <w:sz w:val="24"/>
        </w:rPr>
        <w:t>will handle returns other than the person wishing to dispose of them.  Clients must be directed to place their returned needles, syringes and equipment directly in the disposal bin themselves.</w:t>
      </w:r>
    </w:p>
    <w:p w:rsidR="004D0310" w:rsidRPr="004D0310" w:rsidRDefault="004D0310" w:rsidP="004D0310">
      <w:pPr>
        <w:pStyle w:val="ListParagraph"/>
        <w:rPr>
          <w:color w:val="000000" w:themeColor="text1"/>
          <w:sz w:val="24"/>
        </w:rPr>
      </w:pPr>
    </w:p>
    <w:p w:rsidR="004D0310" w:rsidRDefault="004D0310" w:rsidP="00C3362B">
      <w:pPr>
        <w:pStyle w:val="ListParagraph"/>
        <w:numPr>
          <w:ilvl w:val="2"/>
          <w:numId w:val="16"/>
        </w:numPr>
        <w:tabs>
          <w:tab w:val="left" w:pos="7610"/>
        </w:tabs>
        <w:rPr>
          <w:color w:val="000000" w:themeColor="text1"/>
          <w:sz w:val="24"/>
        </w:rPr>
      </w:pPr>
      <w:r>
        <w:rPr>
          <w:color w:val="000000" w:themeColor="text1"/>
          <w:sz w:val="24"/>
        </w:rPr>
        <w:t>Clients will be asked to indicate the approximate number of needles and syringes returned for disposal.</w:t>
      </w:r>
    </w:p>
    <w:p w:rsidR="004D0310" w:rsidRPr="004D0310" w:rsidRDefault="004D0310" w:rsidP="004D0310">
      <w:pPr>
        <w:pStyle w:val="ListParagraph"/>
        <w:rPr>
          <w:color w:val="000000" w:themeColor="text1"/>
          <w:sz w:val="24"/>
        </w:rPr>
      </w:pPr>
    </w:p>
    <w:p w:rsidR="004D0310" w:rsidRDefault="004D0310" w:rsidP="00C3362B">
      <w:pPr>
        <w:pStyle w:val="ListParagraph"/>
        <w:numPr>
          <w:ilvl w:val="2"/>
          <w:numId w:val="16"/>
        </w:numPr>
        <w:tabs>
          <w:tab w:val="left" w:pos="7610"/>
        </w:tabs>
        <w:rPr>
          <w:color w:val="000000" w:themeColor="text1"/>
          <w:sz w:val="24"/>
        </w:rPr>
      </w:pPr>
      <w:r>
        <w:rPr>
          <w:color w:val="000000" w:themeColor="text1"/>
          <w:sz w:val="24"/>
        </w:rPr>
        <w:t>The contractor will provide suitable advice, written information and relevant leaflets on the scheme, drug related topics and other services (e</w:t>
      </w:r>
      <w:r w:rsidR="003B00B1">
        <w:rPr>
          <w:color w:val="000000" w:themeColor="text1"/>
          <w:sz w:val="24"/>
        </w:rPr>
        <w:t>.</w:t>
      </w:r>
      <w:r>
        <w:rPr>
          <w:color w:val="000000" w:themeColor="text1"/>
          <w:sz w:val="24"/>
        </w:rPr>
        <w:t>g</w:t>
      </w:r>
      <w:r w:rsidR="003B00B1">
        <w:rPr>
          <w:color w:val="000000" w:themeColor="text1"/>
          <w:sz w:val="24"/>
        </w:rPr>
        <w:t>.</w:t>
      </w:r>
      <w:r>
        <w:rPr>
          <w:color w:val="000000" w:themeColor="text1"/>
          <w:sz w:val="24"/>
        </w:rPr>
        <w:t xml:space="preserve"> information on safer injecting, hepatitis, </w:t>
      </w:r>
      <w:proofErr w:type="spellStart"/>
      <w:r>
        <w:rPr>
          <w:color w:val="000000" w:themeColor="text1"/>
          <w:sz w:val="24"/>
        </w:rPr>
        <w:t>etc</w:t>
      </w:r>
      <w:proofErr w:type="spellEnd"/>
      <w:r>
        <w:rPr>
          <w:color w:val="000000" w:themeColor="text1"/>
          <w:sz w:val="24"/>
        </w:rPr>
        <w:t>)</w:t>
      </w:r>
    </w:p>
    <w:p w:rsidR="004D0310" w:rsidRPr="004D0310" w:rsidRDefault="004D0310" w:rsidP="004D0310">
      <w:pPr>
        <w:pStyle w:val="ListParagraph"/>
        <w:rPr>
          <w:color w:val="000000" w:themeColor="text1"/>
          <w:sz w:val="24"/>
        </w:rPr>
      </w:pPr>
    </w:p>
    <w:p w:rsidR="004D0310" w:rsidRPr="004D0310" w:rsidRDefault="004D0310" w:rsidP="004D0310">
      <w:pPr>
        <w:pStyle w:val="ListParagraph"/>
        <w:numPr>
          <w:ilvl w:val="1"/>
          <w:numId w:val="16"/>
        </w:numPr>
        <w:tabs>
          <w:tab w:val="left" w:pos="7610"/>
        </w:tabs>
        <w:rPr>
          <w:color w:val="000000" w:themeColor="text1"/>
          <w:sz w:val="24"/>
        </w:rPr>
      </w:pPr>
      <w:r>
        <w:rPr>
          <w:color w:val="000000" w:themeColor="text1"/>
          <w:sz w:val="24"/>
        </w:rPr>
        <w:t xml:space="preserve">    </w:t>
      </w:r>
      <w:r>
        <w:rPr>
          <w:i/>
          <w:color w:val="000000" w:themeColor="text1"/>
          <w:sz w:val="24"/>
        </w:rPr>
        <w:t>Storage of Returned Equipment</w:t>
      </w:r>
    </w:p>
    <w:p w:rsidR="004D0310" w:rsidRDefault="004D0310" w:rsidP="004D0310">
      <w:pPr>
        <w:tabs>
          <w:tab w:val="left" w:pos="7610"/>
        </w:tabs>
        <w:rPr>
          <w:color w:val="000000" w:themeColor="text1"/>
          <w:sz w:val="24"/>
        </w:rPr>
      </w:pPr>
    </w:p>
    <w:p w:rsidR="004D0310" w:rsidRPr="004D0310" w:rsidRDefault="004D0310" w:rsidP="004D0310">
      <w:pPr>
        <w:pStyle w:val="ListParagraph"/>
        <w:numPr>
          <w:ilvl w:val="2"/>
          <w:numId w:val="16"/>
        </w:numPr>
        <w:tabs>
          <w:tab w:val="left" w:pos="7610"/>
        </w:tabs>
        <w:rPr>
          <w:color w:val="000000" w:themeColor="text1"/>
          <w:sz w:val="24"/>
        </w:rPr>
      </w:pPr>
      <w:r w:rsidRPr="004D0310">
        <w:rPr>
          <w:color w:val="000000" w:themeColor="text1"/>
          <w:sz w:val="24"/>
        </w:rPr>
        <w:t xml:space="preserve">Safe storage principles will be in place.  Returned equipment will be stored in a </w:t>
      </w:r>
    </w:p>
    <w:p w:rsidR="004D0310" w:rsidRDefault="004D0310" w:rsidP="004D0310">
      <w:pPr>
        <w:pStyle w:val="ListParagraph"/>
        <w:tabs>
          <w:tab w:val="left" w:pos="7610"/>
        </w:tabs>
        <w:ind w:left="1080"/>
        <w:rPr>
          <w:color w:val="000000" w:themeColor="text1"/>
          <w:sz w:val="24"/>
        </w:rPr>
      </w:pPr>
      <w:proofErr w:type="gramStart"/>
      <w:r w:rsidRPr="004D0310">
        <w:rPr>
          <w:color w:val="000000" w:themeColor="text1"/>
          <w:sz w:val="24"/>
        </w:rPr>
        <w:t>secure</w:t>
      </w:r>
      <w:proofErr w:type="gramEnd"/>
      <w:r w:rsidRPr="004D0310">
        <w:rPr>
          <w:color w:val="000000" w:themeColor="text1"/>
          <w:sz w:val="24"/>
        </w:rPr>
        <w:t xml:space="preserve">, discrete area in </w:t>
      </w:r>
      <w:r w:rsidR="00F6312C" w:rsidRPr="004D0310">
        <w:rPr>
          <w:color w:val="000000" w:themeColor="text1"/>
          <w:sz w:val="24"/>
        </w:rPr>
        <w:t>order</w:t>
      </w:r>
      <w:r w:rsidRPr="004D0310">
        <w:rPr>
          <w:color w:val="000000" w:themeColor="text1"/>
          <w:sz w:val="24"/>
        </w:rPr>
        <w:t xml:space="preserve"> to ensure quick and efficient disposal and to prevent accidental access by staff or the public.</w:t>
      </w:r>
    </w:p>
    <w:p w:rsidR="004D0310" w:rsidRDefault="004D0310" w:rsidP="004D0310">
      <w:pPr>
        <w:pStyle w:val="ListParagraph"/>
        <w:tabs>
          <w:tab w:val="left" w:pos="7610"/>
        </w:tabs>
        <w:ind w:left="1080"/>
        <w:rPr>
          <w:color w:val="000000" w:themeColor="text1"/>
          <w:sz w:val="24"/>
        </w:rPr>
      </w:pPr>
    </w:p>
    <w:p w:rsidR="004D0310" w:rsidRDefault="004D0310" w:rsidP="004D0310">
      <w:pPr>
        <w:pStyle w:val="ListParagraph"/>
        <w:numPr>
          <w:ilvl w:val="2"/>
          <w:numId w:val="16"/>
        </w:numPr>
        <w:tabs>
          <w:tab w:val="left" w:pos="7610"/>
        </w:tabs>
        <w:rPr>
          <w:color w:val="000000" w:themeColor="text1"/>
          <w:sz w:val="24"/>
        </w:rPr>
      </w:pPr>
      <w:r>
        <w:rPr>
          <w:color w:val="000000" w:themeColor="text1"/>
          <w:sz w:val="24"/>
        </w:rPr>
        <w:t>Full and sealed sharps bins will be stored in a suitably secure and safe designated area until uplifted by an appropriate agency.</w:t>
      </w:r>
    </w:p>
    <w:p w:rsidR="004D0310" w:rsidRDefault="004D0310" w:rsidP="004D0310">
      <w:pPr>
        <w:pStyle w:val="ListParagraph"/>
        <w:tabs>
          <w:tab w:val="left" w:pos="7610"/>
        </w:tabs>
        <w:ind w:left="1080"/>
        <w:rPr>
          <w:color w:val="000000" w:themeColor="text1"/>
          <w:sz w:val="24"/>
        </w:rPr>
      </w:pPr>
    </w:p>
    <w:p w:rsidR="004D0310" w:rsidRDefault="004D0310" w:rsidP="004D0310">
      <w:pPr>
        <w:pStyle w:val="ListParagraph"/>
        <w:numPr>
          <w:ilvl w:val="1"/>
          <w:numId w:val="16"/>
        </w:numPr>
        <w:tabs>
          <w:tab w:val="left" w:pos="7610"/>
        </w:tabs>
        <w:rPr>
          <w:i/>
          <w:color w:val="000000" w:themeColor="text1"/>
          <w:sz w:val="24"/>
        </w:rPr>
      </w:pPr>
      <w:r>
        <w:rPr>
          <w:i/>
          <w:color w:val="000000" w:themeColor="text1"/>
          <w:sz w:val="24"/>
        </w:rPr>
        <w:t>Disposal</w:t>
      </w:r>
    </w:p>
    <w:p w:rsidR="004D0310" w:rsidRDefault="004D0310" w:rsidP="004D0310">
      <w:pPr>
        <w:pStyle w:val="ListParagraph"/>
        <w:tabs>
          <w:tab w:val="left" w:pos="7610"/>
        </w:tabs>
        <w:ind w:left="760"/>
        <w:rPr>
          <w:i/>
          <w:color w:val="000000" w:themeColor="text1"/>
          <w:sz w:val="24"/>
        </w:rPr>
      </w:pPr>
    </w:p>
    <w:p w:rsidR="004D0310" w:rsidRDefault="00F6312C" w:rsidP="004D0310">
      <w:pPr>
        <w:pStyle w:val="ListParagraph"/>
        <w:numPr>
          <w:ilvl w:val="2"/>
          <w:numId w:val="16"/>
        </w:numPr>
        <w:tabs>
          <w:tab w:val="left" w:pos="7610"/>
        </w:tabs>
        <w:rPr>
          <w:color w:val="000000" w:themeColor="text1"/>
          <w:sz w:val="24"/>
        </w:rPr>
      </w:pPr>
      <w:r>
        <w:rPr>
          <w:color w:val="000000" w:themeColor="text1"/>
          <w:sz w:val="24"/>
        </w:rPr>
        <w:t>Arrangements</w:t>
      </w:r>
      <w:r w:rsidR="004D0310">
        <w:rPr>
          <w:color w:val="000000" w:themeColor="text1"/>
          <w:sz w:val="24"/>
        </w:rPr>
        <w:t xml:space="preserve"> are in place for the regular disposal of full sharps bins.  If </w:t>
      </w:r>
    </w:p>
    <w:p w:rsidR="004D0310" w:rsidRPr="004D0310" w:rsidRDefault="004D0310" w:rsidP="004D0310">
      <w:pPr>
        <w:pStyle w:val="ListParagraph"/>
        <w:tabs>
          <w:tab w:val="left" w:pos="7610"/>
        </w:tabs>
        <w:ind w:left="1080"/>
        <w:rPr>
          <w:color w:val="000000" w:themeColor="text1"/>
          <w:sz w:val="24"/>
        </w:rPr>
      </w:pPr>
      <w:proofErr w:type="gramStart"/>
      <w:r>
        <w:rPr>
          <w:color w:val="000000" w:themeColor="text1"/>
          <w:sz w:val="24"/>
        </w:rPr>
        <w:t>additional</w:t>
      </w:r>
      <w:proofErr w:type="gramEnd"/>
      <w:r>
        <w:rPr>
          <w:color w:val="000000" w:themeColor="text1"/>
          <w:sz w:val="24"/>
        </w:rPr>
        <w:t xml:space="preserve"> need arises contact should be made with the Specialist Pharmacist in Substance Misuse (</w:t>
      </w:r>
      <w:proofErr w:type="spellStart"/>
      <w:r>
        <w:rPr>
          <w:color w:val="000000" w:themeColor="text1"/>
          <w:sz w:val="24"/>
        </w:rPr>
        <w:t>SPiSM</w:t>
      </w:r>
      <w:proofErr w:type="spellEnd"/>
      <w:r>
        <w:rPr>
          <w:color w:val="000000" w:themeColor="text1"/>
          <w:sz w:val="24"/>
        </w:rPr>
        <w:t>).</w:t>
      </w:r>
    </w:p>
    <w:p w:rsidR="00C3362B" w:rsidRDefault="004D0310" w:rsidP="00C3362B">
      <w:pPr>
        <w:pStyle w:val="ListParagraph"/>
        <w:tabs>
          <w:tab w:val="left" w:pos="7610"/>
        </w:tabs>
        <w:ind w:left="1080"/>
        <w:rPr>
          <w:color w:val="000000" w:themeColor="text1"/>
          <w:sz w:val="24"/>
        </w:rPr>
      </w:pPr>
      <w:r w:rsidRPr="000861FA">
        <w:rPr>
          <w:noProof/>
          <w:lang w:bidi="ar-SA"/>
        </w:rPr>
        <w:drawing>
          <wp:anchor distT="0" distB="0" distL="114300" distR="114300" simplePos="0" relativeHeight="251669504" behindDoc="0" locked="0" layoutInCell="1" allowOverlap="1" wp14:anchorId="0A4B0234" wp14:editId="7AA0433A">
            <wp:simplePos x="0" y="0"/>
            <wp:positionH relativeFrom="margin">
              <wp:posOffset>-444500</wp:posOffset>
            </wp:positionH>
            <wp:positionV relativeFrom="paragraph">
              <wp:posOffset>0</wp:posOffset>
            </wp:positionV>
            <wp:extent cx="6886575" cy="2571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C3362B" w:rsidRDefault="00C3362B" w:rsidP="00C3362B">
      <w:pPr>
        <w:pStyle w:val="ListParagraph"/>
        <w:tabs>
          <w:tab w:val="left" w:pos="7610"/>
        </w:tabs>
        <w:ind w:left="284"/>
        <w:rPr>
          <w:color w:val="000000" w:themeColor="text1"/>
          <w:sz w:val="24"/>
        </w:rPr>
      </w:pPr>
    </w:p>
    <w:p w:rsidR="004D0310" w:rsidRDefault="004D0310" w:rsidP="004D0310">
      <w:pPr>
        <w:pStyle w:val="ListParagraph"/>
        <w:numPr>
          <w:ilvl w:val="0"/>
          <w:numId w:val="16"/>
        </w:numPr>
        <w:tabs>
          <w:tab w:val="left" w:pos="7610"/>
        </w:tabs>
        <w:rPr>
          <w:b/>
          <w:color w:val="000000" w:themeColor="text1"/>
          <w:sz w:val="24"/>
        </w:rPr>
      </w:pPr>
      <w:r w:rsidRPr="000861FA">
        <w:rPr>
          <w:noProof/>
          <w:lang w:bidi="ar-SA"/>
        </w:rPr>
        <w:drawing>
          <wp:anchor distT="0" distB="0" distL="114300" distR="114300" simplePos="0" relativeHeight="251671552" behindDoc="0" locked="0" layoutInCell="1" allowOverlap="1" wp14:anchorId="0A4B0234" wp14:editId="7AA0433A">
            <wp:simplePos x="0" y="0"/>
            <wp:positionH relativeFrom="margin">
              <wp:posOffset>-393700</wp:posOffset>
            </wp:positionH>
            <wp:positionV relativeFrom="paragraph">
              <wp:posOffset>175260</wp:posOffset>
            </wp:positionV>
            <wp:extent cx="6886575" cy="2571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24"/>
        </w:rPr>
        <w:t>Shared Care and Partnership Working</w:t>
      </w:r>
    </w:p>
    <w:p w:rsidR="004D0310" w:rsidRDefault="004D0310" w:rsidP="004D0310">
      <w:pPr>
        <w:pStyle w:val="ListParagraph"/>
        <w:tabs>
          <w:tab w:val="left" w:pos="7610"/>
        </w:tabs>
        <w:ind w:left="720"/>
        <w:rPr>
          <w:b/>
          <w:color w:val="000000" w:themeColor="text1"/>
          <w:sz w:val="24"/>
        </w:rPr>
      </w:pPr>
    </w:p>
    <w:p w:rsidR="004D0310" w:rsidRDefault="004D0310" w:rsidP="004D0310">
      <w:pPr>
        <w:pStyle w:val="ListParagraph"/>
        <w:tabs>
          <w:tab w:val="left" w:pos="7610"/>
        </w:tabs>
        <w:ind w:left="720"/>
        <w:rPr>
          <w:b/>
          <w:color w:val="000000" w:themeColor="text1"/>
          <w:sz w:val="24"/>
        </w:rPr>
      </w:pPr>
    </w:p>
    <w:p w:rsidR="004D0310" w:rsidRDefault="004D0310" w:rsidP="004D0310">
      <w:pPr>
        <w:pStyle w:val="ListParagraph"/>
        <w:numPr>
          <w:ilvl w:val="1"/>
          <w:numId w:val="16"/>
        </w:numPr>
        <w:tabs>
          <w:tab w:val="left" w:pos="7610"/>
        </w:tabs>
        <w:rPr>
          <w:color w:val="000000" w:themeColor="text1"/>
          <w:sz w:val="24"/>
        </w:rPr>
      </w:pPr>
      <w:r>
        <w:rPr>
          <w:color w:val="000000" w:themeColor="text1"/>
          <w:sz w:val="24"/>
        </w:rPr>
        <w:t>The pharmacist will be responsible for the provision of person-centred care and making the care of the person their first priority in the care of patients under this Service Level Agreement (</w:t>
      </w:r>
      <w:proofErr w:type="spellStart"/>
      <w:r>
        <w:rPr>
          <w:color w:val="000000" w:themeColor="text1"/>
          <w:sz w:val="24"/>
        </w:rPr>
        <w:t>GPhC</w:t>
      </w:r>
      <w:proofErr w:type="spellEnd"/>
      <w:r>
        <w:rPr>
          <w:color w:val="000000" w:themeColor="text1"/>
          <w:sz w:val="24"/>
        </w:rPr>
        <w:t xml:space="preserve"> Professional Standards).</w:t>
      </w:r>
    </w:p>
    <w:p w:rsidR="004D0310" w:rsidRDefault="004D0310" w:rsidP="004D0310">
      <w:pPr>
        <w:pStyle w:val="ListParagraph"/>
        <w:tabs>
          <w:tab w:val="left" w:pos="7610"/>
        </w:tabs>
        <w:ind w:left="720"/>
        <w:rPr>
          <w:color w:val="000000" w:themeColor="text1"/>
          <w:sz w:val="24"/>
        </w:rPr>
      </w:pPr>
    </w:p>
    <w:p w:rsidR="00BD633B" w:rsidRDefault="00BD633B" w:rsidP="004D0310">
      <w:pPr>
        <w:pStyle w:val="ListParagraph"/>
        <w:tabs>
          <w:tab w:val="left" w:pos="7610"/>
        </w:tabs>
        <w:ind w:left="720"/>
        <w:rPr>
          <w:color w:val="000000" w:themeColor="text1"/>
          <w:sz w:val="24"/>
        </w:rPr>
      </w:pPr>
    </w:p>
    <w:p w:rsidR="00BD633B" w:rsidRDefault="00BD633B" w:rsidP="004D0310">
      <w:pPr>
        <w:pStyle w:val="ListParagraph"/>
        <w:tabs>
          <w:tab w:val="left" w:pos="7610"/>
        </w:tabs>
        <w:ind w:left="720"/>
        <w:rPr>
          <w:color w:val="000000" w:themeColor="text1"/>
          <w:sz w:val="24"/>
        </w:rPr>
      </w:pPr>
    </w:p>
    <w:p w:rsidR="00BD633B" w:rsidRDefault="00BD633B" w:rsidP="004D0310">
      <w:pPr>
        <w:pStyle w:val="ListParagraph"/>
        <w:tabs>
          <w:tab w:val="left" w:pos="7610"/>
        </w:tabs>
        <w:ind w:left="720"/>
        <w:rPr>
          <w:color w:val="000000" w:themeColor="text1"/>
          <w:sz w:val="24"/>
        </w:rPr>
      </w:pPr>
    </w:p>
    <w:p w:rsidR="00BD633B" w:rsidRDefault="00BD633B" w:rsidP="004D0310">
      <w:pPr>
        <w:pStyle w:val="ListParagraph"/>
        <w:tabs>
          <w:tab w:val="left" w:pos="7610"/>
        </w:tabs>
        <w:ind w:left="720"/>
        <w:rPr>
          <w:color w:val="000000" w:themeColor="text1"/>
          <w:sz w:val="24"/>
        </w:rPr>
      </w:pPr>
    </w:p>
    <w:p w:rsidR="00BD633B" w:rsidRDefault="00BD633B" w:rsidP="004D0310">
      <w:pPr>
        <w:pStyle w:val="ListParagraph"/>
        <w:tabs>
          <w:tab w:val="left" w:pos="7610"/>
        </w:tabs>
        <w:ind w:left="720"/>
        <w:rPr>
          <w:color w:val="000000" w:themeColor="text1"/>
          <w:sz w:val="24"/>
        </w:rPr>
      </w:pPr>
    </w:p>
    <w:p w:rsidR="00BD633B" w:rsidRDefault="00BD633B" w:rsidP="004D0310">
      <w:pPr>
        <w:pStyle w:val="ListParagraph"/>
        <w:tabs>
          <w:tab w:val="left" w:pos="7610"/>
        </w:tabs>
        <w:ind w:left="720"/>
        <w:rPr>
          <w:color w:val="000000" w:themeColor="text1"/>
          <w:sz w:val="24"/>
        </w:rPr>
      </w:pPr>
    </w:p>
    <w:p w:rsidR="00BD633B" w:rsidRDefault="00BD633B" w:rsidP="004D0310">
      <w:pPr>
        <w:pStyle w:val="ListParagraph"/>
        <w:tabs>
          <w:tab w:val="left" w:pos="7610"/>
        </w:tabs>
        <w:ind w:left="720"/>
        <w:rPr>
          <w:color w:val="000000" w:themeColor="text1"/>
          <w:sz w:val="24"/>
        </w:rPr>
      </w:pPr>
    </w:p>
    <w:p w:rsidR="00BD633B" w:rsidRDefault="00BD633B" w:rsidP="004D0310">
      <w:pPr>
        <w:pStyle w:val="ListParagraph"/>
        <w:tabs>
          <w:tab w:val="left" w:pos="7610"/>
        </w:tabs>
        <w:ind w:left="720"/>
        <w:rPr>
          <w:color w:val="000000" w:themeColor="text1"/>
          <w:sz w:val="24"/>
        </w:rPr>
      </w:pPr>
    </w:p>
    <w:p w:rsidR="004D0310" w:rsidRDefault="004D0310" w:rsidP="004D0310">
      <w:pPr>
        <w:pStyle w:val="ListParagraph"/>
        <w:tabs>
          <w:tab w:val="left" w:pos="7610"/>
        </w:tabs>
        <w:ind w:left="720"/>
        <w:rPr>
          <w:color w:val="000000" w:themeColor="text1"/>
          <w:sz w:val="24"/>
        </w:rPr>
      </w:pPr>
      <w:r>
        <w:rPr>
          <w:color w:val="000000" w:themeColor="text1"/>
          <w:sz w:val="24"/>
        </w:rPr>
        <w:t xml:space="preserve">Where appropriate, individuals accessing </w:t>
      </w:r>
      <w:r w:rsidR="00F6312C">
        <w:rPr>
          <w:color w:val="000000" w:themeColor="text1"/>
          <w:sz w:val="24"/>
        </w:rPr>
        <w:t>their</w:t>
      </w:r>
      <w:r>
        <w:rPr>
          <w:color w:val="000000" w:themeColor="text1"/>
          <w:sz w:val="24"/>
        </w:rPr>
        <w:t xml:space="preserve"> service will be actively encouraged to engage with relevant health and social care providers to improve health and reduce risk of harm.  This may include offer and support of referral to:</w:t>
      </w:r>
    </w:p>
    <w:p w:rsidR="004D0310" w:rsidRDefault="001513B9" w:rsidP="004D0310">
      <w:pPr>
        <w:pStyle w:val="ListParagraph"/>
        <w:numPr>
          <w:ilvl w:val="0"/>
          <w:numId w:val="18"/>
        </w:numPr>
        <w:tabs>
          <w:tab w:val="left" w:pos="7610"/>
        </w:tabs>
        <w:rPr>
          <w:color w:val="000000" w:themeColor="text1"/>
          <w:sz w:val="24"/>
        </w:rPr>
      </w:pPr>
      <w:r>
        <w:rPr>
          <w:color w:val="000000" w:themeColor="text1"/>
          <w:sz w:val="24"/>
        </w:rPr>
        <w:t>Specialist Treatment Services for problematic Substance use</w:t>
      </w:r>
    </w:p>
    <w:p w:rsidR="001513B9" w:rsidRDefault="001513B9" w:rsidP="004D0310">
      <w:pPr>
        <w:pStyle w:val="ListParagraph"/>
        <w:numPr>
          <w:ilvl w:val="0"/>
          <w:numId w:val="18"/>
        </w:numPr>
        <w:tabs>
          <w:tab w:val="left" w:pos="7610"/>
        </w:tabs>
        <w:rPr>
          <w:color w:val="000000" w:themeColor="text1"/>
          <w:sz w:val="24"/>
        </w:rPr>
      </w:pPr>
      <w:r>
        <w:rPr>
          <w:color w:val="000000" w:themeColor="text1"/>
          <w:sz w:val="24"/>
        </w:rPr>
        <w:t>Specialist Blood Borne Virus Treatment services for treatment and care relating to Hepatitis and HIV.</w:t>
      </w:r>
    </w:p>
    <w:p w:rsidR="001513B9" w:rsidRPr="00BD633B" w:rsidRDefault="001513B9" w:rsidP="001513B9">
      <w:pPr>
        <w:pStyle w:val="ListParagraph"/>
        <w:numPr>
          <w:ilvl w:val="0"/>
          <w:numId w:val="18"/>
        </w:numPr>
        <w:tabs>
          <w:tab w:val="left" w:pos="7610"/>
        </w:tabs>
        <w:rPr>
          <w:color w:val="000000" w:themeColor="text1"/>
          <w:sz w:val="24"/>
        </w:rPr>
      </w:pPr>
      <w:r>
        <w:rPr>
          <w:color w:val="000000" w:themeColor="text1"/>
          <w:sz w:val="24"/>
        </w:rPr>
        <w:t>Homelessness Support Services</w:t>
      </w:r>
    </w:p>
    <w:p w:rsidR="001513B9" w:rsidRDefault="001513B9" w:rsidP="001513B9">
      <w:pPr>
        <w:pStyle w:val="ListParagraph"/>
        <w:tabs>
          <w:tab w:val="left" w:pos="7610"/>
        </w:tabs>
        <w:ind w:left="1440"/>
        <w:rPr>
          <w:color w:val="000000" w:themeColor="text1"/>
          <w:sz w:val="24"/>
        </w:rPr>
      </w:pPr>
    </w:p>
    <w:p w:rsidR="001513B9" w:rsidRDefault="001513B9" w:rsidP="001513B9">
      <w:pPr>
        <w:tabs>
          <w:tab w:val="left" w:pos="7610"/>
        </w:tabs>
        <w:ind w:left="851"/>
        <w:rPr>
          <w:i/>
          <w:color w:val="000000" w:themeColor="text1"/>
          <w:sz w:val="24"/>
        </w:rPr>
      </w:pPr>
      <w:r>
        <w:rPr>
          <w:i/>
          <w:color w:val="000000" w:themeColor="text1"/>
          <w:sz w:val="24"/>
        </w:rPr>
        <w:t>Public Health Communications</w:t>
      </w:r>
    </w:p>
    <w:p w:rsidR="001513B9" w:rsidRDefault="001513B9" w:rsidP="001513B9">
      <w:pPr>
        <w:tabs>
          <w:tab w:val="left" w:pos="7610"/>
        </w:tabs>
        <w:ind w:left="851"/>
        <w:rPr>
          <w:i/>
          <w:color w:val="000000" w:themeColor="text1"/>
          <w:sz w:val="24"/>
        </w:rPr>
      </w:pPr>
    </w:p>
    <w:p w:rsidR="001513B9" w:rsidRDefault="001513B9" w:rsidP="001513B9">
      <w:pPr>
        <w:tabs>
          <w:tab w:val="left" w:pos="7610"/>
        </w:tabs>
        <w:ind w:left="851"/>
        <w:rPr>
          <w:color w:val="000000" w:themeColor="text1"/>
          <w:sz w:val="24"/>
        </w:rPr>
      </w:pPr>
      <w:r>
        <w:rPr>
          <w:color w:val="000000" w:themeColor="text1"/>
          <w:sz w:val="24"/>
        </w:rPr>
        <w:t>The pharmacy contractor will display Public Health information materials relevant to the individuals accessing the injecting Equipment Provision Service.</w:t>
      </w:r>
    </w:p>
    <w:p w:rsidR="001513B9" w:rsidRDefault="001513B9" w:rsidP="001513B9">
      <w:pPr>
        <w:tabs>
          <w:tab w:val="left" w:pos="7610"/>
        </w:tabs>
        <w:ind w:left="851"/>
        <w:rPr>
          <w:color w:val="000000" w:themeColor="text1"/>
          <w:sz w:val="24"/>
        </w:rPr>
      </w:pPr>
    </w:p>
    <w:p w:rsidR="001513B9" w:rsidRDefault="001513B9" w:rsidP="001513B9">
      <w:pPr>
        <w:tabs>
          <w:tab w:val="left" w:pos="7610"/>
        </w:tabs>
        <w:ind w:left="851"/>
        <w:rPr>
          <w:color w:val="000000" w:themeColor="text1"/>
          <w:sz w:val="24"/>
        </w:rPr>
      </w:pPr>
      <w:r>
        <w:rPr>
          <w:color w:val="000000" w:themeColor="text1"/>
          <w:sz w:val="24"/>
        </w:rPr>
        <w:t>This will involve display of an information poster (of up to A3 dimensions) to be sited in a location visible, accessible and appropriate to individuals accessing the injecting Equipment Provision Service.</w:t>
      </w:r>
    </w:p>
    <w:p w:rsidR="001513B9" w:rsidRDefault="001513B9" w:rsidP="001513B9">
      <w:pPr>
        <w:tabs>
          <w:tab w:val="left" w:pos="7610"/>
        </w:tabs>
        <w:ind w:left="851"/>
        <w:rPr>
          <w:color w:val="000000" w:themeColor="text1"/>
          <w:sz w:val="24"/>
        </w:rPr>
      </w:pPr>
    </w:p>
    <w:p w:rsidR="001513B9" w:rsidRDefault="001513B9" w:rsidP="001513B9">
      <w:pPr>
        <w:tabs>
          <w:tab w:val="left" w:pos="7610"/>
        </w:tabs>
        <w:ind w:left="851"/>
        <w:rPr>
          <w:color w:val="000000" w:themeColor="text1"/>
          <w:sz w:val="24"/>
        </w:rPr>
      </w:pPr>
      <w:r>
        <w:rPr>
          <w:color w:val="000000" w:themeColor="text1"/>
          <w:sz w:val="24"/>
        </w:rPr>
        <w:t>The pharmacy contractor will update the communication material at intervals as directed by the Health Board but no more than four times per year.</w:t>
      </w:r>
    </w:p>
    <w:p w:rsidR="001513B9" w:rsidRDefault="001513B9" w:rsidP="001513B9">
      <w:pPr>
        <w:tabs>
          <w:tab w:val="left" w:pos="7610"/>
        </w:tabs>
        <w:ind w:left="851"/>
        <w:rPr>
          <w:color w:val="000000" w:themeColor="text1"/>
          <w:sz w:val="24"/>
        </w:rPr>
      </w:pPr>
      <w:r w:rsidRPr="000861FA">
        <w:rPr>
          <w:noProof/>
          <w:lang w:bidi="ar-SA"/>
        </w:rPr>
        <w:drawing>
          <wp:anchor distT="0" distB="0" distL="114300" distR="114300" simplePos="0" relativeHeight="251673600" behindDoc="0" locked="0" layoutInCell="1" allowOverlap="1" wp14:anchorId="0A4B0234" wp14:editId="7AA0433A">
            <wp:simplePos x="0" y="0"/>
            <wp:positionH relativeFrom="margin">
              <wp:posOffset>-431800</wp:posOffset>
            </wp:positionH>
            <wp:positionV relativeFrom="paragraph">
              <wp:posOffset>123825</wp:posOffset>
            </wp:positionV>
            <wp:extent cx="6886575" cy="2571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1513B9" w:rsidRDefault="001513B9" w:rsidP="001513B9">
      <w:pPr>
        <w:tabs>
          <w:tab w:val="left" w:pos="7610"/>
        </w:tabs>
        <w:ind w:left="851"/>
        <w:rPr>
          <w:color w:val="000000" w:themeColor="text1"/>
          <w:sz w:val="24"/>
        </w:rPr>
      </w:pPr>
    </w:p>
    <w:p w:rsidR="001513B9" w:rsidRDefault="001513B9" w:rsidP="001513B9">
      <w:pPr>
        <w:tabs>
          <w:tab w:val="left" w:pos="7610"/>
        </w:tabs>
        <w:ind w:left="851"/>
        <w:rPr>
          <w:color w:val="000000" w:themeColor="text1"/>
          <w:sz w:val="24"/>
        </w:rPr>
      </w:pPr>
    </w:p>
    <w:p w:rsidR="001513B9" w:rsidRDefault="001513B9" w:rsidP="001513B9">
      <w:pPr>
        <w:pStyle w:val="ListParagraph"/>
        <w:numPr>
          <w:ilvl w:val="0"/>
          <w:numId w:val="16"/>
        </w:numPr>
        <w:tabs>
          <w:tab w:val="left" w:pos="7610"/>
        </w:tabs>
        <w:rPr>
          <w:b/>
          <w:color w:val="000000" w:themeColor="text1"/>
          <w:sz w:val="24"/>
        </w:rPr>
      </w:pPr>
      <w:r w:rsidRPr="000861FA">
        <w:rPr>
          <w:noProof/>
          <w:lang w:bidi="ar-SA"/>
        </w:rPr>
        <w:drawing>
          <wp:anchor distT="0" distB="0" distL="114300" distR="114300" simplePos="0" relativeHeight="251675648" behindDoc="0" locked="0" layoutInCell="1" allowOverlap="1" wp14:anchorId="0A4B0234" wp14:editId="7AA0433A">
            <wp:simplePos x="0" y="0"/>
            <wp:positionH relativeFrom="margin">
              <wp:posOffset>-431800</wp:posOffset>
            </wp:positionH>
            <wp:positionV relativeFrom="paragraph">
              <wp:posOffset>174625</wp:posOffset>
            </wp:positionV>
            <wp:extent cx="6886575" cy="2571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24"/>
        </w:rPr>
        <w:t>Training</w:t>
      </w:r>
    </w:p>
    <w:p w:rsidR="001513B9" w:rsidRDefault="001513B9" w:rsidP="001513B9">
      <w:pPr>
        <w:tabs>
          <w:tab w:val="left" w:pos="7610"/>
        </w:tabs>
        <w:rPr>
          <w:b/>
          <w:color w:val="000000" w:themeColor="text1"/>
          <w:sz w:val="24"/>
        </w:rPr>
      </w:pPr>
    </w:p>
    <w:p w:rsidR="001513B9" w:rsidRDefault="001513B9" w:rsidP="001513B9">
      <w:pPr>
        <w:tabs>
          <w:tab w:val="left" w:pos="7610"/>
        </w:tabs>
        <w:rPr>
          <w:b/>
          <w:color w:val="000000" w:themeColor="text1"/>
          <w:sz w:val="24"/>
        </w:rPr>
      </w:pPr>
    </w:p>
    <w:p w:rsidR="001513B9" w:rsidRPr="001513B9" w:rsidRDefault="001513B9" w:rsidP="001513B9">
      <w:pPr>
        <w:pStyle w:val="ListParagraph"/>
        <w:numPr>
          <w:ilvl w:val="1"/>
          <w:numId w:val="16"/>
        </w:numPr>
        <w:tabs>
          <w:tab w:val="left" w:pos="7610"/>
        </w:tabs>
        <w:rPr>
          <w:color w:val="000000" w:themeColor="text1"/>
          <w:sz w:val="24"/>
        </w:rPr>
      </w:pPr>
      <w:r w:rsidRPr="001513B9">
        <w:rPr>
          <w:color w:val="000000" w:themeColor="text1"/>
          <w:sz w:val="24"/>
        </w:rPr>
        <w:t>It is necessary that the Pharmacists and staff involved in the provision of this service undertake appropriate training to demonstrate competence and maintain CPD.</w:t>
      </w:r>
    </w:p>
    <w:p w:rsidR="001513B9" w:rsidRDefault="001513B9" w:rsidP="001513B9">
      <w:pPr>
        <w:pStyle w:val="ListParagraph"/>
        <w:tabs>
          <w:tab w:val="left" w:pos="7610"/>
        </w:tabs>
        <w:ind w:left="760"/>
        <w:rPr>
          <w:color w:val="000000" w:themeColor="text1"/>
          <w:sz w:val="24"/>
        </w:rPr>
      </w:pPr>
    </w:p>
    <w:p w:rsidR="001513B9" w:rsidRDefault="001513B9" w:rsidP="001513B9">
      <w:pPr>
        <w:pStyle w:val="ListParagraph"/>
        <w:tabs>
          <w:tab w:val="left" w:pos="7610"/>
        </w:tabs>
        <w:ind w:left="760"/>
        <w:rPr>
          <w:color w:val="000000" w:themeColor="text1"/>
          <w:sz w:val="24"/>
        </w:rPr>
      </w:pPr>
      <w:r>
        <w:rPr>
          <w:color w:val="000000" w:themeColor="text1"/>
          <w:sz w:val="24"/>
        </w:rPr>
        <w:t xml:space="preserve">In line with </w:t>
      </w:r>
      <w:proofErr w:type="spellStart"/>
      <w:r>
        <w:rPr>
          <w:color w:val="000000" w:themeColor="text1"/>
          <w:sz w:val="24"/>
        </w:rPr>
        <w:t>GPhC</w:t>
      </w:r>
      <w:proofErr w:type="spellEnd"/>
      <w:r>
        <w:rPr>
          <w:color w:val="000000" w:themeColor="text1"/>
          <w:sz w:val="24"/>
        </w:rPr>
        <w:t xml:space="preserve"> standard 2.1 the responsible Pharmacist must ensure that there are sufficient staff, suitably qualified and skilled, for the safe and effective provision of the pharmacy services provided.</w:t>
      </w:r>
    </w:p>
    <w:p w:rsidR="001513B9" w:rsidRDefault="001513B9" w:rsidP="001513B9">
      <w:pPr>
        <w:pStyle w:val="ListParagraph"/>
        <w:tabs>
          <w:tab w:val="left" w:pos="7610"/>
        </w:tabs>
        <w:ind w:left="760"/>
        <w:rPr>
          <w:color w:val="000000" w:themeColor="text1"/>
          <w:sz w:val="24"/>
        </w:rPr>
      </w:pPr>
    </w:p>
    <w:p w:rsidR="001513B9" w:rsidRDefault="001513B9" w:rsidP="001513B9">
      <w:pPr>
        <w:pStyle w:val="ListParagraph"/>
        <w:tabs>
          <w:tab w:val="left" w:pos="7610"/>
        </w:tabs>
        <w:ind w:left="760"/>
        <w:rPr>
          <w:color w:val="000000" w:themeColor="text1"/>
          <w:sz w:val="24"/>
        </w:rPr>
      </w:pPr>
      <w:r>
        <w:rPr>
          <w:color w:val="000000" w:themeColor="text1"/>
          <w:sz w:val="24"/>
        </w:rPr>
        <w:t xml:space="preserve">In </w:t>
      </w:r>
      <w:r w:rsidR="00C23CF9">
        <w:rPr>
          <w:color w:val="000000" w:themeColor="text1"/>
          <w:sz w:val="24"/>
        </w:rPr>
        <w:t>line</w:t>
      </w:r>
      <w:r>
        <w:rPr>
          <w:color w:val="000000" w:themeColor="text1"/>
          <w:sz w:val="24"/>
        </w:rPr>
        <w:t xml:space="preserve"> with </w:t>
      </w:r>
      <w:proofErr w:type="spellStart"/>
      <w:r>
        <w:rPr>
          <w:color w:val="000000" w:themeColor="text1"/>
          <w:sz w:val="24"/>
        </w:rPr>
        <w:t>GPhC</w:t>
      </w:r>
      <w:proofErr w:type="spellEnd"/>
      <w:r>
        <w:rPr>
          <w:color w:val="000000" w:themeColor="text1"/>
          <w:sz w:val="24"/>
        </w:rPr>
        <w:t xml:space="preserve"> standard 2.2 the responsible Pharmacist must ensure that staff have the appropriate skills, </w:t>
      </w:r>
      <w:r w:rsidR="00C23CF9">
        <w:rPr>
          <w:color w:val="000000" w:themeColor="text1"/>
          <w:sz w:val="24"/>
        </w:rPr>
        <w:t>qualifications</w:t>
      </w:r>
      <w:r>
        <w:rPr>
          <w:color w:val="000000" w:themeColor="text1"/>
          <w:sz w:val="24"/>
        </w:rPr>
        <w:t xml:space="preserve"> and competence for their role and the tasks they carry out, or are working under the supervision of another person while they are in training.</w:t>
      </w:r>
    </w:p>
    <w:p w:rsidR="001513B9" w:rsidRDefault="001513B9" w:rsidP="001513B9">
      <w:pPr>
        <w:pStyle w:val="ListParagraph"/>
        <w:tabs>
          <w:tab w:val="left" w:pos="7610"/>
        </w:tabs>
        <w:ind w:left="760"/>
        <w:rPr>
          <w:color w:val="000000" w:themeColor="text1"/>
          <w:sz w:val="24"/>
        </w:rPr>
      </w:pPr>
    </w:p>
    <w:p w:rsidR="001513B9" w:rsidRDefault="001513B9" w:rsidP="001513B9">
      <w:pPr>
        <w:pStyle w:val="ListParagraph"/>
        <w:tabs>
          <w:tab w:val="left" w:pos="7610"/>
        </w:tabs>
        <w:ind w:left="760"/>
        <w:rPr>
          <w:color w:val="000000" w:themeColor="text1"/>
          <w:sz w:val="24"/>
          <w:u w:val="single"/>
        </w:rPr>
      </w:pPr>
      <w:r>
        <w:rPr>
          <w:color w:val="000000" w:themeColor="text1"/>
          <w:sz w:val="24"/>
        </w:rPr>
        <w:t xml:space="preserve">It is expected that, as a minimum, staff </w:t>
      </w:r>
      <w:r w:rsidR="00457C8C">
        <w:rPr>
          <w:color w:val="000000" w:themeColor="text1"/>
          <w:sz w:val="24"/>
        </w:rPr>
        <w:t>involved in the provision of this</w:t>
      </w:r>
      <w:r>
        <w:rPr>
          <w:color w:val="000000" w:themeColor="text1"/>
          <w:sz w:val="24"/>
        </w:rPr>
        <w:t xml:space="preserve"> service are familiar with the contents of the </w:t>
      </w:r>
      <w:r>
        <w:rPr>
          <w:b/>
          <w:color w:val="000000" w:themeColor="text1"/>
          <w:sz w:val="24"/>
        </w:rPr>
        <w:t xml:space="preserve">Injecting Equipment Provision Service Manual </w:t>
      </w:r>
      <w:r>
        <w:rPr>
          <w:color w:val="000000" w:themeColor="text1"/>
          <w:sz w:val="24"/>
          <w:u w:val="single"/>
        </w:rPr>
        <w:t>provided to each pharmacy site and are able to access the Manual as required.</w:t>
      </w:r>
    </w:p>
    <w:p w:rsidR="00C23CF9" w:rsidRDefault="00C23CF9" w:rsidP="001513B9">
      <w:pPr>
        <w:pStyle w:val="ListParagraph"/>
        <w:tabs>
          <w:tab w:val="left" w:pos="7610"/>
        </w:tabs>
        <w:ind w:left="760"/>
        <w:rPr>
          <w:color w:val="000000" w:themeColor="text1"/>
          <w:sz w:val="24"/>
          <w:u w:val="single"/>
        </w:rPr>
      </w:pPr>
    </w:p>
    <w:p w:rsidR="00C23CF9" w:rsidRDefault="00C23CF9" w:rsidP="001513B9">
      <w:pPr>
        <w:pStyle w:val="ListParagraph"/>
        <w:tabs>
          <w:tab w:val="left" w:pos="7610"/>
        </w:tabs>
        <w:ind w:left="760"/>
        <w:rPr>
          <w:color w:val="000000" w:themeColor="text1"/>
          <w:sz w:val="24"/>
        </w:rPr>
      </w:pPr>
      <w:r>
        <w:rPr>
          <w:color w:val="000000" w:themeColor="text1"/>
          <w:sz w:val="24"/>
        </w:rPr>
        <w:t>Online training materials provided by the national equipment provider are available from:</w:t>
      </w:r>
    </w:p>
    <w:p w:rsidR="00C23CF9" w:rsidRDefault="0038500E" w:rsidP="001513B9">
      <w:pPr>
        <w:pStyle w:val="ListParagraph"/>
        <w:tabs>
          <w:tab w:val="left" w:pos="7610"/>
        </w:tabs>
        <w:ind w:left="760"/>
        <w:rPr>
          <w:rStyle w:val="Hyperlink"/>
          <w:color w:val="auto"/>
          <w:sz w:val="24"/>
        </w:rPr>
      </w:pPr>
      <w:hyperlink r:id="rId12" w:history="1">
        <w:r w:rsidR="00C23CF9" w:rsidRPr="00A0181E">
          <w:rPr>
            <w:rStyle w:val="Hyperlink"/>
            <w:color w:val="auto"/>
            <w:sz w:val="24"/>
          </w:rPr>
          <w:t>https://www.frontiersharpsafety.com/</w:t>
        </w:r>
      </w:hyperlink>
    </w:p>
    <w:p w:rsidR="00C23CF9" w:rsidRDefault="00C23CF9" w:rsidP="001513B9">
      <w:pPr>
        <w:pStyle w:val="ListParagraph"/>
        <w:tabs>
          <w:tab w:val="left" w:pos="7610"/>
        </w:tabs>
        <w:ind w:left="760"/>
        <w:rPr>
          <w:rStyle w:val="Hyperlink"/>
          <w:color w:val="auto"/>
          <w:sz w:val="24"/>
        </w:rPr>
      </w:pPr>
    </w:p>
    <w:p w:rsidR="00C23CF9" w:rsidRDefault="00C23CF9" w:rsidP="001513B9">
      <w:pPr>
        <w:pStyle w:val="ListParagraph"/>
        <w:tabs>
          <w:tab w:val="left" w:pos="7610"/>
        </w:tabs>
        <w:ind w:left="760"/>
        <w:rPr>
          <w:rStyle w:val="Hyperlink"/>
          <w:color w:val="auto"/>
          <w:sz w:val="24"/>
          <w:u w:val="none"/>
        </w:rPr>
      </w:pPr>
      <w:r>
        <w:rPr>
          <w:rStyle w:val="Hyperlink"/>
          <w:color w:val="auto"/>
          <w:sz w:val="24"/>
          <w:u w:val="none"/>
        </w:rPr>
        <w:t xml:space="preserve">In addition to the reference materials and information available, Pharmacists and staff shall participate in local training initiatives as appropriate.  Additional training or guidance shall be made available on request to the </w:t>
      </w:r>
      <w:proofErr w:type="spellStart"/>
      <w:r>
        <w:rPr>
          <w:rStyle w:val="Hyperlink"/>
          <w:color w:val="auto"/>
          <w:sz w:val="24"/>
          <w:u w:val="none"/>
        </w:rPr>
        <w:t>SPiSM</w:t>
      </w:r>
      <w:proofErr w:type="spellEnd"/>
      <w:r>
        <w:rPr>
          <w:rStyle w:val="Hyperlink"/>
          <w:color w:val="auto"/>
          <w:sz w:val="24"/>
          <w:u w:val="none"/>
        </w:rPr>
        <w:t>.</w:t>
      </w:r>
    </w:p>
    <w:p w:rsidR="00C23CF9" w:rsidRDefault="00C23CF9" w:rsidP="001513B9">
      <w:pPr>
        <w:pStyle w:val="ListParagraph"/>
        <w:tabs>
          <w:tab w:val="left" w:pos="7610"/>
        </w:tabs>
        <w:ind w:left="760"/>
        <w:rPr>
          <w:rStyle w:val="Hyperlink"/>
          <w:color w:val="auto"/>
          <w:sz w:val="24"/>
          <w:u w:val="none"/>
        </w:rPr>
      </w:pPr>
    </w:p>
    <w:p w:rsidR="00C23CF9" w:rsidRDefault="00C23CF9" w:rsidP="00C23CF9">
      <w:pPr>
        <w:pStyle w:val="ListParagraph"/>
        <w:numPr>
          <w:ilvl w:val="1"/>
          <w:numId w:val="16"/>
        </w:numPr>
        <w:tabs>
          <w:tab w:val="left" w:pos="7610"/>
        </w:tabs>
        <w:rPr>
          <w:rStyle w:val="Hyperlink"/>
          <w:color w:val="auto"/>
          <w:sz w:val="24"/>
          <w:u w:val="none"/>
        </w:rPr>
      </w:pPr>
      <w:r>
        <w:rPr>
          <w:rStyle w:val="Hyperlink"/>
          <w:color w:val="auto"/>
          <w:sz w:val="24"/>
          <w:u w:val="none"/>
        </w:rPr>
        <w:t>All staff working in the pharmacy will be instructed about the risk of needle-stick injuries and the action to be taken if such an injury occurs.</w:t>
      </w:r>
    </w:p>
    <w:p w:rsidR="00C23CF9" w:rsidRDefault="00C23CF9" w:rsidP="00C23CF9">
      <w:pPr>
        <w:pStyle w:val="ListParagraph"/>
        <w:tabs>
          <w:tab w:val="left" w:pos="7610"/>
        </w:tabs>
        <w:ind w:left="760"/>
        <w:rPr>
          <w:rStyle w:val="Hyperlink"/>
          <w:color w:val="auto"/>
          <w:sz w:val="24"/>
          <w:u w:val="none"/>
        </w:rPr>
      </w:pPr>
    </w:p>
    <w:p w:rsidR="00BD633B" w:rsidRDefault="00BD633B" w:rsidP="00C23CF9">
      <w:pPr>
        <w:pStyle w:val="ListParagraph"/>
        <w:tabs>
          <w:tab w:val="left" w:pos="7610"/>
        </w:tabs>
        <w:ind w:left="760"/>
        <w:rPr>
          <w:rStyle w:val="Hyperlink"/>
          <w:color w:val="auto"/>
          <w:sz w:val="24"/>
          <w:u w:val="none"/>
        </w:rPr>
      </w:pPr>
    </w:p>
    <w:p w:rsidR="00BD633B" w:rsidRDefault="00BD633B" w:rsidP="00C23CF9">
      <w:pPr>
        <w:pStyle w:val="ListParagraph"/>
        <w:tabs>
          <w:tab w:val="left" w:pos="7610"/>
        </w:tabs>
        <w:ind w:left="760"/>
        <w:rPr>
          <w:rStyle w:val="Hyperlink"/>
          <w:color w:val="auto"/>
          <w:sz w:val="24"/>
          <w:u w:val="none"/>
        </w:rPr>
      </w:pPr>
    </w:p>
    <w:p w:rsidR="00C23CF9" w:rsidRDefault="00C23CF9" w:rsidP="00C23CF9">
      <w:pPr>
        <w:pStyle w:val="ListParagraph"/>
        <w:numPr>
          <w:ilvl w:val="1"/>
          <w:numId w:val="16"/>
        </w:numPr>
        <w:tabs>
          <w:tab w:val="left" w:pos="7610"/>
        </w:tabs>
        <w:rPr>
          <w:color w:val="000000" w:themeColor="text1"/>
          <w:sz w:val="24"/>
        </w:rPr>
      </w:pPr>
      <w:r>
        <w:rPr>
          <w:color w:val="000000" w:themeColor="text1"/>
          <w:sz w:val="24"/>
        </w:rPr>
        <w:t>Contractors will ensure that any locum or visiting staff are trained and familiar with the procedures involved in providing the service.</w:t>
      </w:r>
    </w:p>
    <w:p w:rsidR="001513B9" w:rsidRDefault="00C23CF9" w:rsidP="001513B9">
      <w:pPr>
        <w:pStyle w:val="ListParagraph"/>
        <w:tabs>
          <w:tab w:val="left" w:pos="7610"/>
        </w:tabs>
        <w:ind w:left="720"/>
        <w:rPr>
          <w:color w:val="000000" w:themeColor="text1"/>
          <w:sz w:val="24"/>
        </w:rPr>
      </w:pPr>
      <w:r w:rsidRPr="000861FA">
        <w:rPr>
          <w:noProof/>
          <w:sz w:val="24"/>
          <w:lang w:bidi="ar-SA"/>
        </w:rPr>
        <w:drawing>
          <wp:anchor distT="0" distB="0" distL="114300" distR="114300" simplePos="0" relativeHeight="251677696" behindDoc="0" locked="0" layoutInCell="1" allowOverlap="1" wp14:anchorId="4A7BA400" wp14:editId="044F81A0">
            <wp:simplePos x="0" y="0"/>
            <wp:positionH relativeFrom="margin">
              <wp:posOffset>-393700</wp:posOffset>
            </wp:positionH>
            <wp:positionV relativeFrom="paragraph">
              <wp:posOffset>117475</wp:posOffset>
            </wp:positionV>
            <wp:extent cx="6886575" cy="2571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C23CF9" w:rsidRDefault="00C23CF9" w:rsidP="001513B9">
      <w:pPr>
        <w:pStyle w:val="ListParagraph"/>
        <w:tabs>
          <w:tab w:val="left" w:pos="7610"/>
        </w:tabs>
        <w:ind w:left="720"/>
        <w:rPr>
          <w:color w:val="000000" w:themeColor="text1"/>
          <w:sz w:val="24"/>
        </w:rPr>
      </w:pPr>
    </w:p>
    <w:p w:rsidR="00C23CF9" w:rsidRDefault="00C23CF9" w:rsidP="001513B9">
      <w:pPr>
        <w:pStyle w:val="ListParagraph"/>
        <w:tabs>
          <w:tab w:val="left" w:pos="7610"/>
        </w:tabs>
        <w:ind w:left="720"/>
        <w:rPr>
          <w:color w:val="000000" w:themeColor="text1"/>
          <w:sz w:val="24"/>
        </w:rPr>
      </w:pPr>
    </w:p>
    <w:p w:rsidR="00C23CF9" w:rsidRDefault="00C23CF9" w:rsidP="00C23CF9">
      <w:pPr>
        <w:pStyle w:val="ListParagraph"/>
        <w:numPr>
          <w:ilvl w:val="0"/>
          <w:numId w:val="16"/>
        </w:numPr>
        <w:tabs>
          <w:tab w:val="left" w:pos="7610"/>
        </w:tabs>
        <w:rPr>
          <w:b/>
          <w:color w:val="000000" w:themeColor="text1"/>
          <w:sz w:val="24"/>
        </w:rPr>
      </w:pPr>
      <w:r w:rsidRPr="000861FA">
        <w:rPr>
          <w:noProof/>
          <w:lang w:bidi="ar-SA"/>
        </w:rPr>
        <w:drawing>
          <wp:anchor distT="0" distB="0" distL="114300" distR="114300" simplePos="0" relativeHeight="251679744" behindDoc="0" locked="0" layoutInCell="1" allowOverlap="1" wp14:anchorId="4A7BA400" wp14:editId="044F81A0">
            <wp:simplePos x="0" y="0"/>
            <wp:positionH relativeFrom="margin">
              <wp:posOffset>-431800</wp:posOffset>
            </wp:positionH>
            <wp:positionV relativeFrom="paragraph">
              <wp:posOffset>145415</wp:posOffset>
            </wp:positionV>
            <wp:extent cx="6886575" cy="2571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sidRPr="00C23CF9">
        <w:rPr>
          <w:b/>
          <w:color w:val="000000" w:themeColor="text1"/>
          <w:sz w:val="24"/>
        </w:rPr>
        <w:t>Records</w:t>
      </w:r>
    </w:p>
    <w:p w:rsidR="00C23CF9" w:rsidRDefault="00C23CF9" w:rsidP="00C23CF9">
      <w:pPr>
        <w:tabs>
          <w:tab w:val="left" w:pos="7610"/>
        </w:tabs>
        <w:rPr>
          <w:b/>
          <w:color w:val="000000" w:themeColor="text1"/>
          <w:sz w:val="24"/>
        </w:rPr>
      </w:pPr>
    </w:p>
    <w:p w:rsidR="00C23CF9" w:rsidRDefault="00C23CF9" w:rsidP="00C23CF9">
      <w:pPr>
        <w:tabs>
          <w:tab w:val="left" w:pos="7610"/>
        </w:tabs>
        <w:rPr>
          <w:b/>
          <w:color w:val="000000" w:themeColor="text1"/>
          <w:sz w:val="24"/>
        </w:rPr>
      </w:pPr>
    </w:p>
    <w:p w:rsidR="00BF432B" w:rsidRPr="00BF432B" w:rsidRDefault="00C23CF9" w:rsidP="00BF432B">
      <w:pPr>
        <w:pStyle w:val="ListParagraph"/>
        <w:numPr>
          <w:ilvl w:val="1"/>
          <w:numId w:val="16"/>
        </w:numPr>
        <w:tabs>
          <w:tab w:val="left" w:pos="7610"/>
        </w:tabs>
        <w:rPr>
          <w:color w:val="000000" w:themeColor="text1"/>
          <w:sz w:val="24"/>
        </w:rPr>
      </w:pPr>
      <w:r w:rsidRPr="00BF432B">
        <w:rPr>
          <w:color w:val="000000" w:themeColor="text1"/>
          <w:sz w:val="24"/>
        </w:rPr>
        <w:t xml:space="preserve">The contractor providing the service will keep and maintain appropriate records of </w:t>
      </w:r>
    </w:p>
    <w:p w:rsidR="00C23CF9" w:rsidRPr="00BF432B" w:rsidRDefault="00C23CF9" w:rsidP="00BF432B">
      <w:pPr>
        <w:pStyle w:val="ListParagraph"/>
        <w:tabs>
          <w:tab w:val="left" w:pos="7610"/>
        </w:tabs>
        <w:ind w:left="760"/>
        <w:rPr>
          <w:color w:val="000000" w:themeColor="text1"/>
          <w:sz w:val="24"/>
        </w:rPr>
      </w:pPr>
      <w:proofErr w:type="gramStart"/>
      <w:r w:rsidRPr="00BF432B">
        <w:rPr>
          <w:color w:val="000000" w:themeColor="text1"/>
          <w:sz w:val="24"/>
        </w:rPr>
        <w:t>transactions</w:t>
      </w:r>
      <w:proofErr w:type="gramEnd"/>
      <w:r w:rsidRPr="00BF432B">
        <w:rPr>
          <w:color w:val="000000" w:themeColor="text1"/>
          <w:sz w:val="24"/>
        </w:rPr>
        <w:t xml:space="preserve"> and service activity in a manner directed by NHS Ayrshire and Arran including:</w:t>
      </w:r>
    </w:p>
    <w:p w:rsidR="00C23CF9" w:rsidRDefault="00C23CF9" w:rsidP="00C23CF9">
      <w:pPr>
        <w:pStyle w:val="ListParagraph"/>
        <w:numPr>
          <w:ilvl w:val="0"/>
          <w:numId w:val="19"/>
        </w:numPr>
        <w:tabs>
          <w:tab w:val="left" w:pos="7610"/>
        </w:tabs>
        <w:rPr>
          <w:color w:val="000000" w:themeColor="text1"/>
          <w:sz w:val="24"/>
        </w:rPr>
      </w:pPr>
      <w:r>
        <w:rPr>
          <w:color w:val="000000" w:themeColor="text1"/>
          <w:sz w:val="24"/>
        </w:rPr>
        <w:t>The number of individual clients using the service;</w:t>
      </w:r>
    </w:p>
    <w:p w:rsidR="00C23CF9" w:rsidRDefault="00C23CF9" w:rsidP="00C23CF9">
      <w:pPr>
        <w:pStyle w:val="ListParagraph"/>
        <w:numPr>
          <w:ilvl w:val="0"/>
          <w:numId w:val="19"/>
        </w:numPr>
        <w:tabs>
          <w:tab w:val="left" w:pos="7610"/>
        </w:tabs>
        <w:rPr>
          <w:color w:val="000000" w:themeColor="text1"/>
          <w:sz w:val="24"/>
        </w:rPr>
      </w:pPr>
      <w:r>
        <w:rPr>
          <w:color w:val="000000" w:themeColor="text1"/>
          <w:sz w:val="24"/>
        </w:rPr>
        <w:t>The number of individual transactions;</w:t>
      </w:r>
    </w:p>
    <w:p w:rsidR="00C23CF9" w:rsidRDefault="00C23CF9" w:rsidP="00C23CF9">
      <w:pPr>
        <w:pStyle w:val="ListParagraph"/>
        <w:numPr>
          <w:ilvl w:val="0"/>
          <w:numId w:val="19"/>
        </w:numPr>
        <w:tabs>
          <w:tab w:val="left" w:pos="7610"/>
        </w:tabs>
        <w:rPr>
          <w:color w:val="000000" w:themeColor="text1"/>
          <w:sz w:val="24"/>
        </w:rPr>
      </w:pPr>
      <w:r>
        <w:rPr>
          <w:color w:val="000000" w:themeColor="text1"/>
          <w:sz w:val="24"/>
        </w:rPr>
        <w:t>The quantities and type of injecting equipment provided;</w:t>
      </w:r>
    </w:p>
    <w:p w:rsidR="00C23CF9" w:rsidRDefault="00C23CF9" w:rsidP="00C23CF9">
      <w:pPr>
        <w:pStyle w:val="ListParagraph"/>
        <w:numPr>
          <w:ilvl w:val="0"/>
          <w:numId w:val="19"/>
        </w:numPr>
        <w:tabs>
          <w:tab w:val="left" w:pos="7610"/>
        </w:tabs>
        <w:rPr>
          <w:color w:val="000000" w:themeColor="text1"/>
          <w:sz w:val="24"/>
        </w:rPr>
      </w:pPr>
      <w:r>
        <w:rPr>
          <w:color w:val="000000" w:themeColor="text1"/>
          <w:sz w:val="24"/>
        </w:rPr>
        <w:t>A record of the service user’s estimate of the number of used needles and syringes returned, and</w:t>
      </w:r>
    </w:p>
    <w:p w:rsidR="00C23CF9" w:rsidRDefault="00C23CF9" w:rsidP="00C23CF9">
      <w:pPr>
        <w:pStyle w:val="ListParagraph"/>
        <w:numPr>
          <w:ilvl w:val="0"/>
          <w:numId w:val="19"/>
        </w:numPr>
        <w:tabs>
          <w:tab w:val="left" w:pos="7610"/>
        </w:tabs>
        <w:rPr>
          <w:color w:val="000000" w:themeColor="text1"/>
          <w:sz w:val="24"/>
        </w:rPr>
      </w:pPr>
      <w:r>
        <w:rPr>
          <w:color w:val="000000" w:themeColor="text1"/>
          <w:sz w:val="24"/>
        </w:rPr>
        <w:t>Details of training courses attended or completed for each member of staff.</w:t>
      </w:r>
    </w:p>
    <w:p w:rsidR="00BF432B" w:rsidRDefault="00BF432B" w:rsidP="00BF432B">
      <w:pPr>
        <w:tabs>
          <w:tab w:val="left" w:pos="7610"/>
        </w:tabs>
        <w:rPr>
          <w:color w:val="000000" w:themeColor="text1"/>
          <w:sz w:val="24"/>
        </w:rPr>
      </w:pPr>
    </w:p>
    <w:p w:rsidR="00BF432B" w:rsidRDefault="00BF432B" w:rsidP="00BF432B">
      <w:pPr>
        <w:pStyle w:val="ListParagraph"/>
        <w:numPr>
          <w:ilvl w:val="1"/>
          <w:numId w:val="16"/>
        </w:numPr>
        <w:tabs>
          <w:tab w:val="left" w:pos="7610"/>
        </w:tabs>
        <w:rPr>
          <w:color w:val="000000" w:themeColor="text1"/>
          <w:sz w:val="24"/>
        </w:rPr>
      </w:pPr>
      <w:r w:rsidRPr="00BF432B">
        <w:rPr>
          <w:color w:val="000000" w:themeColor="text1"/>
          <w:sz w:val="24"/>
        </w:rPr>
        <w:t>The data collected to satisfy the requirements of 5.1 above will be provided to NHS Ayrshire and Arran in a timely manner.</w:t>
      </w:r>
    </w:p>
    <w:p w:rsidR="00BF432B" w:rsidRDefault="00BF432B" w:rsidP="00BF432B">
      <w:pPr>
        <w:pStyle w:val="ListParagraph"/>
        <w:tabs>
          <w:tab w:val="left" w:pos="7610"/>
        </w:tabs>
        <w:ind w:left="760"/>
        <w:rPr>
          <w:color w:val="000000" w:themeColor="text1"/>
          <w:sz w:val="24"/>
        </w:rPr>
      </w:pPr>
      <w:r w:rsidRPr="000861FA">
        <w:rPr>
          <w:noProof/>
          <w:sz w:val="24"/>
          <w:lang w:bidi="ar-SA"/>
        </w:rPr>
        <w:drawing>
          <wp:anchor distT="0" distB="0" distL="114300" distR="114300" simplePos="0" relativeHeight="251681792" behindDoc="0" locked="0" layoutInCell="1" allowOverlap="1" wp14:anchorId="4A7BA400" wp14:editId="044F81A0">
            <wp:simplePos x="0" y="0"/>
            <wp:positionH relativeFrom="margin">
              <wp:posOffset>-400050</wp:posOffset>
            </wp:positionH>
            <wp:positionV relativeFrom="paragraph">
              <wp:posOffset>123825</wp:posOffset>
            </wp:positionV>
            <wp:extent cx="6886575" cy="25717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BF432B" w:rsidRPr="00BF432B" w:rsidRDefault="00BF432B" w:rsidP="00BF432B">
      <w:pPr>
        <w:pStyle w:val="ListParagraph"/>
        <w:tabs>
          <w:tab w:val="left" w:pos="7610"/>
        </w:tabs>
        <w:ind w:left="760"/>
        <w:rPr>
          <w:color w:val="000000" w:themeColor="text1"/>
          <w:sz w:val="24"/>
        </w:rPr>
      </w:pPr>
    </w:p>
    <w:p w:rsidR="00C23CF9" w:rsidRDefault="00BF432B" w:rsidP="00BF432B">
      <w:pPr>
        <w:pStyle w:val="ListParagraph"/>
        <w:numPr>
          <w:ilvl w:val="0"/>
          <w:numId w:val="16"/>
        </w:numPr>
        <w:tabs>
          <w:tab w:val="left" w:pos="7610"/>
        </w:tabs>
        <w:rPr>
          <w:b/>
          <w:color w:val="000000" w:themeColor="text1"/>
          <w:sz w:val="24"/>
        </w:rPr>
      </w:pPr>
      <w:r w:rsidRPr="000861FA">
        <w:rPr>
          <w:noProof/>
          <w:sz w:val="24"/>
          <w:lang w:bidi="ar-SA"/>
        </w:rPr>
        <w:drawing>
          <wp:anchor distT="0" distB="0" distL="114300" distR="114300" simplePos="0" relativeHeight="251683840" behindDoc="0" locked="0" layoutInCell="1" allowOverlap="1" wp14:anchorId="4A7BA400" wp14:editId="044F81A0">
            <wp:simplePos x="0" y="0"/>
            <wp:positionH relativeFrom="margin">
              <wp:posOffset>-400050</wp:posOffset>
            </wp:positionH>
            <wp:positionV relativeFrom="paragraph">
              <wp:posOffset>174625</wp:posOffset>
            </wp:positionV>
            <wp:extent cx="6886575" cy="2571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sidRPr="00BF432B">
        <w:rPr>
          <w:b/>
          <w:color w:val="000000" w:themeColor="text1"/>
          <w:sz w:val="24"/>
        </w:rPr>
        <w:t>Quality Assurance</w:t>
      </w:r>
    </w:p>
    <w:p w:rsidR="00BF432B" w:rsidRDefault="00BF432B" w:rsidP="00BF432B">
      <w:pPr>
        <w:tabs>
          <w:tab w:val="left" w:pos="7610"/>
        </w:tabs>
        <w:rPr>
          <w:b/>
          <w:color w:val="000000" w:themeColor="text1"/>
          <w:sz w:val="24"/>
        </w:rPr>
      </w:pPr>
    </w:p>
    <w:p w:rsidR="00BF432B" w:rsidRDefault="00BF432B" w:rsidP="00BF432B">
      <w:pPr>
        <w:tabs>
          <w:tab w:val="left" w:pos="7610"/>
        </w:tabs>
        <w:rPr>
          <w:b/>
          <w:color w:val="000000" w:themeColor="text1"/>
          <w:sz w:val="24"/>
        </w:rPr>
      </w:pPr>
    </w:p>
    <w:p w:rsidR="00BF432B" w:rsidRDefault="00BF432B" w:rsidP="00BF432B">
      <w:pPr>
        <w:pStyle w:val="ListParagraph"/>
        <w:numPr>
          <w:ilvl w:val="1"/>
          <w:numId w:val="16"/>
        </w:numPr>
        <w:tabs>
          <w:tab w:val="left" w:pos="7610"/>
        </w:tabs>
        <w:rPr>
          <w:color w:val="000000" w:themeColor="text1"/>
          <w:sz w:val="24"/>
        </w:rPr>
      </w:pPr>
      <w:r w:rsidRPr="00BF432B">
        <w:rPr>
          <w:color w:val="000000" w:themeColor="text1"/>
          <w:sz w:val="24"/>
        </w:rPr>
        <w:t>The pharmacy contractor will commit to undertake an audit of the service provided at least once a year in line with guidance from the Health Board.</w:t>
      </w:r>
    </w:p>
    <w:p w:rsidR="00BF432B" w:rsidRPr="00BF432B" w:rsidRDefault="00BF432B" w:rsidP="00BF432B">
      <w:pPr>
        <w:pStyle w:val="ListParagraph"/>
        <w:tabs>
          <w:tab w:val="left" w:pos="7610"/>
        </w:tabs>
        <w:ind w:left="760"/>
        <w:rPr>
          <w:color w:val="000000" w:themeColor="text1"/>
          <w:sz w:val="24"/>
        </w:rPr>
      </w:pPr>
    </w:p>
    <w:p w:rsidR="00BF432B" w:rsidRDefault="00BF432B" w:rsidP="00BF432B">
      <w:pPr>
        <w:pStyle w:val="ListParagraph"/>
        <w:numPr>
          <w:ilvl w:val="1"/>
          <w:numId w:val="16"/>
        </w:numPr>
        <w:tabs>
          <w:tab w:val="left" w:pos="7610"/>
        </w:tabs>
        <w:rPr>
          <w:color w:val="000000" w:themeColor="text1"/>
          <w:sz w:val="24"/>
        </w:rPr>
      </w:pPr>
      <w:r>
        <w:rPr>
          <w:color w:val="000000" w:themeColor="text1"/>
          <w:sz w:val="24"/>
        </w:rPr>
        <w:t>The result of the audit will be available on request to NHS Ayrshire &amp; Arran.</w:t>
      </w:r>
    </w:p>
    <w:p w:rsidR="00BF432B" w:rsidRPr="00BF432B" w:rsidRDefault="00BF432B" w:rsidP="00BF432B">
      <w:pPr>
        <w:pStyle w:val="ListParagraph"/>
        <w:rPr>
          <w:color w:val="000000" w:themeColor="text1"/>
          <w:sz w:val="24"/>
        </w:rPr>
      </w:pPr>
      <w:r w:rsidRPr="000861FA">
        <w:rPr>
          <w:noProof/>
          <w:sz w:val="24"/>
          <w:lang w:bidi="ar-SA"/>
        </w:rPr>
        <w:drawing>
          <wp:anchor distT="0" distB="0" distL="114300" distR="114300" simplePos="0" relativeHeight="251685888" behindDoc="0" locked="0" layoutInCell="1" allowOverlap="1" wp14:anchorId="4A7BA400" wp14:editId="044F81A0">
            <wp:simplePos x="0" y="0"/>
            <wp:positionH relativeFrom="margin">
              <wp:posOffset>-361950</wp:posOffset>
            </wp:positionH>
            <wp:positionV relativeFrom="paragraph">
              <wp:posOffset>99060</wp:posOffset>
            </wp:positionV>
            <wp:extent cx="6886575" cy="2571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BF432B" w:rsidRDefault="00BF432B" w:rsidP="00BF432B">
      <w:pPr>
        <w:pStyle w:val="ListParagraph"/>
        <w:tabs>
          <w:tab w:val="left" w:pos="7610"/>
        </w:tabs>
        <w:ind w:left="760"/>
        <w:rPr>
          <w:color w:val="000000" w:themeColor="text1"/>
          <w:sz w:val="24"/>
        </w:rPr>
      </w:pPr>
    </w:p>
    <w:p w:rsidR="00BF432B" w:rsidRDefault="00BF432B" w:rsidP="00BF432B">
      <w:pPr>
        <w:pStyle w:val="ListParagraph"/>
        <w:tabs>
          <w:tab w:val="left" w:pos="7610"/>
        </w:tabs>
        <w:ind w:left="760"/>
        <w:rPr>
          <w:color w:val="000000" w:themeColor="text1"/>
          <w:sz w:val="24"/>
        </w:rPr>
      </w:pPr>
    </w:p>
    <w:p w:rsidR="00BF432B" w:rsidRDefault="00BF432B" w:rsidP="00BF432B">
      <w:pPr>
        <w:pStyle w:val="ListParagraph"/>
        <w:numPr>
          <w:ilvl w:val="0"/>
          <w:numId w:val="16"/>
        </w:numPr>
        <w:tabs>
          <w:tab w:val="left" w:pos="7610"/>
        </w:tabs>
        <w:rPr>
          <w:b/>
          <w:color w:val="000000" w:themeColor="text1"/>
          <w:sz w:val="24"/>
        </w:rPr>
      </w:pPr>
      <w:r w:rsidRPr="000861FA">
        <w:rPr>
          <w:noProof/>
          <w:sz w:val="24"/>
          <w:lang w:bidi="ar-SA"/>
        </w:rPr>
        <w:drawing>
          <wp:anchor distT="0" distB="0" distL="114300" distR="114300" simplePos="0" relativeHeight="251687936" behindDoc="0" locked="0" layoutInCell="1" allowOverlap="1" wp14:anchorId="4A7BA400" wp14:editId="044F81A0">
            <wp:simplePos x="0" y="0"/>
            <wp:positionH relativeFrom="margin">
              <wp:posOffset>-381000</wp:posOffset>
            </wp:positionH>
            <wp:positionV relativeFrom="paragraph">
              <wp:posOffset>175260</wp:posOffset>
            </wp:positionV>
            <wp:extent cx="6886575" cy="2571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sidRPr="00BF432B">
        <w:rPr>
          <w:b/>
          <w:color w:val="000000" w:themeColor="text1"/>
          <w:sz w:val="24"/>
        </w:rPr>
        <w:t>Health and Care</w:t>
      </w:r>
    </w:p>
    <w:p w:rsidR="00BF432B" w:rsidRDefault="00BF432B" w:rsidP="00BF432B">
      <w:pPr>
        <w:tabs>
          <w:tab w:val="left" w:pos="7610"/>
        </w:tabs>
        <w:rPr>
          <w:b/>
          <w:color w:val="000000" w:themeColor="text1"/>
          <w:sz w:val="24"/>
        </w:rPr>
      </w:pPr>
    </w:p>
    <w:p w:rsidR="00BF432B" w:rsidRDefault="00BF432B" w:rsidP="00BF432B">
      <w:pPr>
        <w:tabs>
          <w:tab w:val="left" w:pos="7610"/>
        </w:tabs>
        <w:rPr>
          <w:b/>
          <w:color w:val="000000" w:themeColor="text1"/>
          <w:sz w:val="24"/>
        </w:rPr>
      </w:pPr>
    </w:p>
    <w:p w:rsidR="00BF432B" w:rsidRDefault="003A1D4E" w:rsidP="003A1D4E">
      <w:pPr>
        <w:pStyle w:val="ListParagraph"/>
        <w:numPr>
          <w:ilvl w:val="1"/>
          <w:numId w:val="16"/>
        </w:numPr>
        <w:tabs>
          <w:tab w:val="left" w:pos="7610"/>
        </w:tabs>
        <w:rPr>
          <w:color w:val="000000" w:themeColor="text1"/>
          <w:sz w:val="24"/>
        </w:rPr>
      </w:pPr>
      <w:r w:rsidRPr="003A1D4E">
        <w:rPr>
          <w:color w:val="000000" w:themeColor="text1"/>
          <w:sz w:val="24"/>
        </w:rPr>
        <w:t>The Health and Care (Staffing</w:t>
      </w:r>
      <w:r w:rsidR="00F6312C" w:rsidRPr="003A1D4E">
        <w:rPr>
          <w:color w:val="000000" w:themeColor="text1"/>
          <w:sz w:val="24"/>
        </w:rPr>
        <w:t>) (</w:t>
      </w:r>
      <w:r w:rsidRPr="003A1D4E">
        <w:rPr>
          <w:color w:val="000000" w:themeColor="text1"/>
          <w:sz w:val="24"/>
        </w:rPr>
        <w:t>Scotland) Act 2019 (“the Act”) places requirements on the Health Board stating that: “</w:t>
      </w:r>
      <w:r w:rsidR="00457C8C">
        <w:rPr>
          <w:color w:val="000000" w:themeColor="text1"/>
          <w:sz w:val="24"/>
        </w:rPr>
        <w:t>I</w:t>
      </w:r>
      <w:r w:rsidRPr="003A1D4E">
        <w:rPr>
          <w:color w:val="000000" w:themeColor="text1"/>
          <w:sz w:val="24"/>
        </w:rPr>
        <w:t>n planning and securing the provision of health care from another person under a</w:t>
      </w:r>
      <w:r w:rsidR="00ED75A7">
        <w:rPr>
          <w:color w:val="000000" w:themeColor="text1"/>
          <w:sz w:val="24"/>
        </w:rPr>
        <w:t>n</w:t>
      </w:r>
      <w:r w:rsidRPr="003A1D4E">
        <w:rPr>
          <w:color w:val="000000" w:themeColor="text1"/>
          <w:sz w:val="24"/>
        </w:rPr>
        <w:t xml:space="preserve"> contract agreement must have regard to </w:t>
      </w:r>
      <w:r w:rsidR="00A81B75">
        <w:rPr>
          <w:color w:val="000000" w:themeColor="text1"/>
          <w:sz w:val="24"/>
        </w:rPr>
        <w:t>t</w:t>
      </w:r>
      <w:r w:rsidRPr="003A1D4E">
        <w:rPr>
          <w:color w:val="000000" w:themeColor="text1"/>
          <w:sz w:val="24"/>
        </w:rPr>
        <w:t xml:space="preserve">he guidance principles for health and care staffing, and </w:t>
      </w:r>
      <w:r w:rsidR="00A81B75">
        <w:rPr>
          <w:color w:val="000000" w:themeColor="text1"/>
          <w:sz w:val="24"/>
        </w:rPr>
        <w:t>t</w:t>
      </w:r>
      <w:r w:rsidRPr="003A1D4E">
        <w:rPr>
          <w:color w:val="000000" w:themeColor="text1"/>
          <w:sz w:val="24"/>
        </w:rPr>
        <w:t>he need for the person from whom the provision of health care is to be secured to have appropriate staffing arrangements in place”.</w:t>
      </w:r>
    </w:p>
    <w:p w:rsidR="003175A0" w:rsidRPr="003A1D4E" w:rsidRDefault="003175A0" w:rsidP="003175A0">
      <w:pPr>
        <w:pStyle w:val="ListParagraph"/>
        <w:tabs>
          <w:tab w:val="left" w:pos="7610"/>
        </w:tabs>
        <w:ind w:left="760"/>
        <w:rPr>
          <w:color w:val="000000" w:themeColor="text1"/>
          <w:sz w:val="24"/>
        </w:rPr>
      </w:pPr>
    </w:p>
    <w:p w:rsidR="003175A0" w:rsidRPr="003175A0" w:rsidRDefault="003175A0" w:rsidP="003175A0">
      <w:pPr>
        <w:pStyle w:val="ListParagraph"/>
        <w:numPr>
          <w:ilvl w:val="1"/>
          <w:numId w:val="16"/>
        </w:numPr>
        <w:tabs>
          <w:tab w:val="left" w:pos="7610"/>
        </w:tabs>
        <w:rPr>
          <w:color w:val="000000" w:themeColor="text1"/>
          <w:sz w:val="24"/>
        </w:rPr>
      </w:pPr>
      <w:r w:rsidRPr="003175A0">
        <w:rPr>
          <w:color w:val="000000"/>
          <w:sz w:val="24"/>
          <w:shd w:val="clear" w:color="auto" w:fill="FFFFFF"/>
        </w:rPr>
        <w:t>The service provider will ensure that appropriate staffing arrangements are in place for the operation of this service.</w:t>
      </w:r>
    </w:p>
    <w:p w:rsidR="003175A0" w:rsidRPr="003175A0" w:rsidRDefault="003175A0" w:rsidP="003175A0">
      <w:pPr>
        <w:pStyle w:val="ListParagraph"/>
        <w:rPr>
          <w:color w:val="000000" w:themeColor="text1"/>
          <w:sz w:val="24"/>
        </w:rPr>
      </w:pPr>
      <w:r w:rsidRPr="000861FA">
        <w:rPr>
          <w:noProof/>
          <w:sz w:val="24"/>
          <w:lang w:bidi="ar-SA"/>
        </w:rPr>
        <w:drawing>
          <wp:anchor distT="0" distB="0" distL="114300" distR="114300" simplePos="0" relativeHeight="251689984" behindDoc="0" locked="0" layoutInCell="1" allowOverlap="1" wp14:anchorId="7E102B83" wp14:editId="4D624DFB">
            <wp:simplePos x="0" y="0"/>
            <wp:positionH relativeFrom="margin">
              <wp:posOffset>-400050</wp:posOffset>
            </wp:positionH>
            <wp:positionV relativeFrom="paragraph">
              <wp:posOffset>133985</wp:posOffset>
            </wp:positionV>
            <wp:extent cx="6886575" cy="25717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3175A0" w:rsidRPr="003175A0" w:rsidRDefault="003175A0" w:rsidP="003175A0">
      <w:pPr>
        <w:pStyle w:val="ListParagraph"/>
        <w:tabs>
          <w:tab w:val="left" w:pos="7610"/>
        </w:tabs>
        <w:ind w:left="760"/>
        <w:rPr>
          <w:color w:val="000000" w:themeColor="text1"/>
          <w:sz w:val="24"/>
        </w:rPr>
      </w:pPr>
    </w:p>
    <w:p w:rsidR="003175A0" w:rsidRDefault="003175A0" w:rsidP="003175A0">
      <w:pPr>
        <w:pStyle w:val="ListParagraph"/>
        <w:tabs>
          <w:tab w:val="left" w:pos="7610"/>
        </w:tabs>
        <w:ind w:left="720"/>
        <w:rPr>
          <w:b/>
          <w:color w:val="000000" w:themeColor="text1"/>
          <w:sz w:val="24"/>
        </w:rPr>
      </w:pPr>
    </w:p>
    <w:p w:rsidR="00BF432B" w:rsidRDefault="003175A0" w:rsidP="003175A0">
      <w:pPr>
        <w:pStyle w:val="ListParagraph"/>
        <w:numPr>
          <w:ilvl w:val="0"/>
          <w:numId w:val="16"/>
        </w:numPr>
        <w:tabs>
          <w:tab w:val="left" w:pos="7610"/>
        </w:tabs>
        <w:rPr>
          <w:b/>
          <w:color w:val="000000" w:themeColor="text1"/>
          <w:sz w:val="24"/>
        </w:rPr>
      </w:pPr>
      <w:r w:rsidRPr="000861FA">
        <w:rPr>
          <w:noProof/>
          <w:sz w:val="24"/>
          <w:lang w:bidi="ar-SA"/>
        </w:rPr>
        <w:drawing>
          <wp:anchor distT="0" distB="0" distL="114300" distR="114300" simplePos="0" relativeHeight="251692032" behindDoc="0" locked="0" layoutInCell="1" allowOverlap="1" wp14:anchorId="7E102B83" wp14:editId="4D624DFB">
            <wp:simplePos x="0" y="0"/>
            <wp:positionH relativeFrom="margin">
              <wp:posOffset>-431800</wp:posOffset>
            </wp:positionH>
            <wp:positionV relativeFrom="paragraph">
              <wp:posOffset>174625</wp:posOffset>
            </wp:positionV>
            <wp:extent cx="6886575" cy="25717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24"/>
        </w:rPr>
        <w:t>Termination</w:t>
      </w:r>
    </w:p>
    <w:p w:rsidR="003175A0" w:rsidRDefault="003175A0" w:rsidP="003175A0">
      <w:pPr>
        <w:pStyle w:val="ListParagraph"/>
        <w:tabs>
          <w:tab w:val="left" w:pos="7610"/>
        </w:tabs>
        <w:ind w:left="720"/>
        <w:rPr>
          <w:b/>
          <w:color w:val="000000" w:themeColor="text1"/>
          <w:sz w:val="24"/>
        </w:rPr>
      </w:pPr>
    </w:p>
    <w:p w:rsidR="003175A0" w:rsidRDefault="003175A0" w:rsidP="003175A0">
      <w:pPr>
        <w:pStyle w:val="ListParagraph"/>
        <w:tabs>
          <w:tab w:val="left" w:pos="7610"/>
        </w:tabs>
        <w:ind w:left="720"/>
        <w:rPr>
          <w:b/>
          <w:color w:val="000000" w:themeColor="text1"/>
          <w:sz w:val="24"/>
        </w:rPr>
      </w:pPr>
    </w:p>
    <w:p w:rsidR="003175A0" w:rsidRDefault="003175A0" w:rsidP="003175A0">
      <w:pPr>
        <w:pStyle w:val="ListParagraph"/>
        <w:numPr>
          <w:ilvl w:val="1"/>
          <w:numId w:val="16"/>
        </w:numPr>
        <w:tabs>
          <w:tab w:val="left" w:pos="7610"/>
        </w:tabs>
        <w:rPr>
          <w:color w:val="000000"/>
          <w:sz w:val="24"/>
          <w:shd w:val="clear" w:color="auto" w:fill="FFFFFF"/>
        </w:rPr>
      </w:pPr>
      <w:r w:rsidRPr="003175A0">
        <w:rPr>
          <w:color w:val="000000"/>
          <w:sz w:val="24"/>
          <w:shd w:val="clear" w:color="auto" w:fill="FFFFFF"/>
        </w:rPr>
        <w:t xml:space="preserve">The provision of this service can be terminated by either party by providing </w:t>
      </w:r>
    </w:p>
    <w:p w:rsidR="003175A0" w:rsidRDefault="003175A0" w:rsidP="003175A0">
      <w:pPr>
        <w:pStyle w:val="ListParagraph"/>
        <w:tabs>
          <w:tab w:val="left" w:pos="7610"/>
        </w:tabs>
        <w:ind w:left="760"/>
        <w:rPr>
          <w:color w:val="000000"/>
          <w:sz w:val="24"/>
          <w:shd w:val="clear" w:color="auto" w:fill="FFFFFF"/>
        </w:rPr>
      </w:pPr>
      <w:r w:rsidRPr="003175A0">
        <w:rPr>
          <w:color w:val="000000"/>
          <w:sz w:val="24"/>
          <w:shd w:val="clear" w:color="auto" w:fill="FFFFFF"/>
        </w:rPr>
        <w:t>THREE month’s written notice.</w:t>
      </w:r>
    </w:p>
    <w:p w:rsidR="00BD633B" w:rsidRDefault="00BD633B" w:rsidP="003175A0">
      <w:pPr>
        <w:pStyle w:val="ListParagraph"/>
        <w:tabs>
          <w:tab w:val="left" w:pos="7610"/>
        </w:tabs>
        <w:ind w:left="760"/>
        <w:rPr>
          <w:color w:val="000000"/>
          <w:sz w:val="24"/>
          <w:shd w:val="clear" w:color="auto" w:fill="FFFFFF"/>
        </w:rPr>
      </w:pPr>
    </w:p>
    <w:p w:rsidR="001C63A9" w:rsidRDefault="001C63A9" w:rsidP="003175A0">
      <w:pPr>
        <w:pStyle w:val="ListParagraph"/>
        <w:tabs>
          <w:tab w:val="left" w:pos="7610"/>
        </w:tabs>
        <w:ind w:left="760"/>
        <w:rPr>
          <w:color w:val="000000" w:themeColor="text1"/>
          <w:sz w:val="24"/>
        </w:rPr>
      </w:pPr>
    </w:p>
    <w:p w:rsidR="00BD633B" w:rsidRDefault="00BD633B" w:rsidP="003175A0">
      <w:pPr>
        <w:pStyle w:val="ListParagraph"/>
        <w:tabs>
          <w:tab w:val="left" w:pos="7610"/>
        </w:tabs>
        <w:ind w:left="760"/>
        <w:rPr>
          <w:color w:val="000000" w:themeColor="text1"/>
          <w:sz w:val="24"/>
        </w:rPr>
      </w:pPr>
    </w:p>
    <w:p w:rsidR="00BD633B" w:rsidRDefault="00BD633B" w:rsidP="003175A0">
      <w:pPr>
        <w:pStyle w:val="ListParagraph"/>
        <w:tabs>
          <w:tab w:val="left" w:pos="7610"/>
        </w:tabs>
        <w:ind w:left="760"/>
        <w:rPr>
          <w:color w:val="000000" w:themeColor="text1"/>
          <w:sz w:val="24"/>
        </w:rPr>
      </w:pPr>
      <w:r w:rsidRPr="000861FA">
        <w:rPr>
          <w:noProof/>
          <w:sz w:val="24"/>
          <w:lang w:bidi="ar-SA"/>
        </w:rPr>
        <w:drawing>
          <wp:anchor distT="0" distB="0" distL="114300" distR="114300" simplePos="0" relativeHeight="251694080" behindDoc="0" locked="0" layoutInCell="1" allowOverlap="1" wp14:anchorId="07087933" wp14:editId="6B1E5997">
            <wp:simplePos x="0" y="0"/>
            <wp:positionH relativeFrom="margin">
              <wp:posOffset>-431800</wp:posOffset>
            </wp:positionH>
            <wp:positionV relativeFrom="paragraph">
              <wp:posOffset>213360</wp:posOffset>
            </wp:positionV>
            <wp:extent cx="6886575" cy="257175"/>
            <wp:effectExtent l="0" t="0" r="952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p>
    <w:p w:rsidR="00BD633B" w:rsidRDefault="00BD633B" w:rsidP="003175A0">
      <w:pPr>
        <w:pStyle w:val="ListParagraph"/>
        <w:tabs>
          <w:tab w:val="left" w:pos="7610"/>
        </w:tabs>
        <w:ind w:left="760"/>
        <w:rPr>
          <w:color w:val="000000" w:themeColor="text1"/>
          <w:sz w:val="24"/>
        </w:rPr>
      </w:pPr>
    </w:p>
    <w:p w:rsidR="00BD633B" w:rsidRDefault="00BD633B" w:rsidP="003175A0">
      <w:pPr>
        <w:pStyle w:val="ListParagraph"/>
        <w:tabs>
          <w:tab w:val="left" w:pos="7610"/>
        </w:tabs>
        <w:ind w:left="760"/>
        <w:rPr>
          <w:color w:val="000000" w:themeColor="text1"/>
          <w:sz w:val="24"/>
        </w:rPr>
      </w:pPr>
    </w:p>
    <w:p w:rsidR="001C63A9" w:rsidRPr="001C63A9" w:rsidRDefault="001C63A9" w:rsidP="003175A0">
      <w:pPr>
        <w:pStyle w:val="ListParagraph"/>
        <w:tabs>
          <w:tab w:val="left" w:pos="7610"/>
        </w:tabs>
        <w:ind w:left="760"/>
        <w:rPr>
          <w:b/>
          <w:color w:val="000000" w:themeColor="text1"/>
          <w:sz w:val="24"/>
        </w:rPr>
      </w:pPr>
    </w:p>
    <w:p w:rsidR="001C63A9" w:rsidRDefault="001C63A9" w:rsidP="001C63A9">
      <w:pPr>
        <w:pStyle w:val="ListParagraph"/>
        <w:numPr>
          <w:ilvl w:val="0"/>
          <w:numId w:val="16"/>
        </w:numPr>
        <w:tabs>
          <w:tab w:val="left" w:pos="7610"/>
        </w:tabs>
        <w:rPr>
          <w:b/>
          <w:color w:val="000000" w:themeColor="text1"/>
          <w:sz w:val="24"/>
        </w:rPr>
      </w:pPr>
      <w:r w:rsidRPr="000861FA">
        <w:rPr>
          <w:noProof/>
          <w:sz w:val="24"/>
          <w:lang w:bidi="ar-SA"/>
        </w:rPr>
        <w:drawing>
          <wp:anchor distT="0" distB="0" distL="114300" distR="114300" simplePos="0" relativeHeight="251696128" behindDoc="0" locked="0" layoutInCell="1" allowOverlap="1" wp14:anchorId="07087933" wp14:editId="6B1E5997">
            <wp:simplePos x="0" y="0"/>
            <wp:positionH relativeFrom="margin">
              <wp:posOffset>-431800</wp:posOffset>
            </wp:positionH>
            <wp:positionV relativeFrom="paragraph">
              <wp:posOffset>174625</wp:posOffset>
            </wp:positionV>
            <wp:extent cx="6886575" cy="257175"/>
            <wp:effectExtent l="0" t="0" r="952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886575" cy="257175"/>
                    </a:xfrm>
                    <a:prstGeom prst="rect">
                      <a:avLst/>
                    </a:prstGeom>
                  </pic:spPr>
                </pic:pic>
              </a:graphicData>
            </a:graphic>
            <wp14:sizeRelH relativeFrom="margin">
              <wp14:pctWidth>0</wp14:pctWidth>
            </wp14:sizeRelH>
            <wp14:sizeRelV relativeFrom="margin">
              <wp14:pctHeight>0</wp14:pctHeight>
            </wp14:sizeRelV>
          </wp:anchor>
        </w:drawing>
      </w:r>
      <w:r w:rsidRPr="001C63A9">
        <w:rPr>
          <w:b/>
          <w:color w:val="000000" w:themeColor="text1"/>
          <w:sz w:val="24"/>
        </w:rPr>
        <w:t>Breach of Contract</w:t>
      </w:r>
    </w:p>
    <w:p w:rsidR="001C63A9" w:rsidRDefault="001C63A9" w:rsidP="001C63A9">
      <w:pPr>
        <w:pStyle w:val="ListParagraph"/>
        <w:tabs>
          <w:tab w:val="left" w:pos="7610"/>
        </w:tabs>
        <w:ind w:left="720"/>
        <w:rPr>
          <w:b/>
          <w:color w:val="000000" w:themeColor="text1"/>
          <w:sz w:val="24"/>
        </w:rPr>
      </w:pPr>
    </w:p>
    <w:p w:rsidR="001C63A9" w:rsidRDefault="001C63A9" w:rsidP="001C63A9">
      <w:pPr>
        <w:pStyle w:val="ListParagraph"/>
        <w:tabs>
          <w:tab w:val="left" w:pos="7610"/>
        </w:tabs>
        <w:ind w:left="720"/>
        <w:rPr>
          <w:b/>
          <w:color w:val="000000" w:themeColor="text1"/>
          <w:sz w:val="24"/>
        </w:rPr>
      </w:pPr>
    </w:p>
    <w:p w:rsidR="001C63A9" w:rsidRDefault="004B6B39" w:rsidP="004B6B39">
      <w:pPr>
        <w:pStyle w:val="ListParagraph"/>
        <w:numPr>
          <w:ilvl w:val="1"/>
          <w:numId w:val="16"/>
        </w:numPr>
        <w:tabs>
          <w:tab w:val="left" w:pos="7610"/>
        </w:tabs>
        <w:rPr>
          <w:color w:val="000000" w:themeColor="text1"/>
          <w:sz w:val="24"/>
        </w:rPr>
      </w:pPr>
      <w:r>
        <w:rPr>
          <w:color w:val="000000" w:themeColor="text1"/>
          <w:sz w:val="24"/>
        </w:rPr>
        <w:t>Where prima facie evidence of a breach of the terms of this scheme comes to the notice of NHS Ayrshire and Arran the matter will be referred in the first instance to the pharmacy contractor concerned for comment.  If appropriate, the pharmacy contractor will be invited to submit proposals for the rectification of the breach.  Failure to provide a satisfactory response, or to rectify the breach, will result in the matter being referred to the Chief Executive of the NHS Ayrshire &amp; Arran for consideration by the NHS Board and determination of any further action or sanctions to be taken, including termination of the contract under this scheme and recovery of any payments made in respect of services which have not been provided.</w:t>
      </w:r>
    </w:p>
    <w:p w:rsidR="004B6B39" w:rsidRDefault="004B6B39" w:rsidP="004B6B39">
      <w:pPr>
        <w:pStyle w:val="ListParagraph"/>
        <w:tabs>
          <w:tab w:val="left" w:pos="7610"/>
        </w:tabs>
        <w:ind w:left="720"/>
        <w:rPr>
          <w:color w:val="000000" w:themeColor="text1"/>
          <w:sz w:val="24"/>
        </w:rPr>
      </w:pPr>
    </w:p>
    <w:p w:rsidR="004B6B39" w:rsidRDefault="004B6B39" w:rsidP="004B6B39">
      <w:pPr>
        <w:pStyle w:val="ListParagraph"/>
        <w:tabs>
          <w:tab w:val="left" w:pos="7610"/>
        </w:tabs>
        <w:ind w:left="720"/>
        <w:rPr>
          <w:color w:val="000000" w:themeColor="text1"/>
          <w:sz w:val="24"/>
        </w:rPr>
      </w:pPr>
    </w:p>
    <w:tbl>
      <w:tblPr>
        <w:tblW w:w="0" w:type="auto"/>
        <w:tblInd w:w="118" w:type="dxa"/>
        <w:tblCellMar>
          <w:left w:w="0" w:type="dxa"/>
          <w:right w:w="0" w:type="dxa"/>
        </w:tblCellMar>
        <w:tblLook w:val="04A0" w:firstRow="1" w:lastRow="0" w:firstColumn="1" w:lastColumn="0" w:noHBand="0" w:noVBand="1"/>
      </w:tblPr>
      <w:tblGrid>
        <w:gridCol w:w="1418"/>
        <w:gridCol w:w="1097"/>
        <w:gridCol w:w="3568"/>
        <w:gridCol w:w="1703"/>
        <w:gridCol w:w="1546"/>
      </w:tblGrid>
      <w:tr w:rsidR="004B6B39" w:rsidTr="00F6312C">
        <w:tc>
          <w:tcPr>
            <w:tcW w:w="1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B39" w:rsidRDefault="004B6B39" w:rsidP="00F6312C">
            <w:pPr>
              <w:spacing w:line="240" w:lineRule="atLeast"/>
              <w:jc w:val="center"/>
              <w:rPr>
                <w:b/>
                <w:bCs/>
                <w:sz w:val="24"/>
                <w:u w:val="single"/>
              </w:rPr>
            </w:pPr>
            <w:r>
              <w:br w:type="page"/>
            </w:r>
            <w:r>
              <w:rPr>
                <w:b/>
                <w:bCs/>
                <w:sz w:val="24"/>
                <w:u w:val="single"/>
              </w:rPr>
              <w:t>Date</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B6B39" w:rsidRDefault="004B6B39" w:rsidP="00F6312C">
            <w:pPr>
              <w:spacing w:line="240" w:lineRule="atLeast"/>
              <w:jc w:val="center"/>
              <w:rPr>
                <w:b/>
                <w:bCs/>
                <w:sz w:val="24"/>
                <w:u w:val="single"/>
              </w:rPr>
            </w:pPr>
            <w:r>
              <w:rPr>
                <w:b/>
                <w:bCs/>
                <w:sz w:val="24"/>
                <w:u w:val="single"/>
              </w:rPr>
              <w:t>Version No.</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B6B39" w:rsidRDefault="004B6B39" w:rsidP="00F6312C">
            <w:pPr>
              <w:spacing w:line="240" w:lineRule="atLeast"/>
              <w:jc w:val="center"/>
              <w:rPr>
                <w:b/>
                <w:bCs/>
                <w:sz w:val="24"/>
                <w:u w:val="single"/>
              </w:rPr>
            </w:pPr>
            <w:r>
              <w:rPr>
                <w:b/>
                <w:bCs/>
                <w:sz w:val="24"/>
                <w:u w:val="single"/>
              </w:rPr>
              <w:t>Description of Amendments</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B6B39" w:rsidRDefault="004B6B39" w:rsidP="00F6312C">
            <w:pPr>
              <w:spacing w:line="240" w:lineRule="atLeast"/>
              <w:jc w:val="center"/>
              <w:rPr>
                <w:b/>
                <w:bCs/>
                <w:sz w:val="24"/>
                <w:u w:val="single"/>
              </w:rPr>
            </w:pPr>
            <w:r>
              <w:rPr>
                <w:b/>
                <w:bCs/>
                <w:sz w:val="24"/>
                <w:u w:val="single"/>
              </w:rPr>
              <w:t>Ratified By</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B6B39" w:rsidRDefault="004B6B39" w:rsidP="00F6312C">
            <w:pPr>
              <w:spacing w:line="240" w:lineRule="atLeast"/>
              <w:jc w:val="center"/>
              <w:rPr>
                <w:b/>
                <w:bCs/>
                <w:sz w:val="24"/>
                <w:u w:val="single"/>
              </w:rPr>
            </w:pPr>
            <w:r>
              <w:rPr>
                <w:b/>
                <w:bCs/>
                <w:sz w:val="24"/>
                <w:u w:val="single"/>
              </w:rPr>
              <w:t>Date to be Reviewed.</w:t>
            </w:r>
          </w:p>
        </w:tc>
      </w:tr>
      <w:tr w:rsidR="004B6B39" w:rsidTr="00F6312C">
        <w:trPr>
          <w:trHeight w:val="3194"/>
        </w:trPr>
        <w:tc>
          <w:tcPr>
            <w:tcW w:w="13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B6B39" w:rsidRDefault="004B6B39" w:rsidP="00F6312C">
            <w:pPr>
              <w:spacing w:line="240" w:lineRule="atLeast"/>
              <w:rPr>
                <w:sz w:val="24"/>
              </w:rPr>
            </w:pPr>
            <w:r>
              <w:rPr>
                <w:sz w:val="24"/>
              </w:rPr>
              <w:t>03/04/2024</w:t>
            </w:r>
          </w:p>
          <w:p w:rsidR="004B6B39" w:rsidRDefault="004B6B39" w:rsidP="00F6312C">
            <w:pPr>
              <w:spacing w:line="240" w:lineRule="atLeast"/>
              <w:rPr>
                <w:sz w:val="24"/>
              </w:rPr>
            </w:pPr>
          </w:p>
          <w:p w:rsidR="004B6B39" w:rsidRDefault="004B6B39" w:rsidP="00F6312C">
            <w:pPr>
              <w:spacing w:line="240" w:lineRule="atLeast"/>
              <w:rPr>
                <w:sz w:val="24"/>
              </w:rPr>
            </w:pPr>
          </w:p>
          <w:p w:rsidR="004B6B39" w:rsidRDefault="004B6B39" w:rsidP="00F6312C">
            <w:pPr>
              <w:spacing w:line="240" w:lineRule="atLeast"/>
              <w:rPr>
                <w:sz w:val="24"/>
              </w:rPr>
            </w:pPr>
          </w:p>
          <w:p w:rsidR="004B6B39" w:rsidRDefault="004B6B39" w:rsidP="00F6312C">
            <w:pPr>
              <w:spacing w:line="240" w:lineRule="atLeast"/>
              <w:rPr>
                <w:sz w:val="24"/>
              </w:rPr>
            </w:pPr>
          </w:p>
          <w:p w:rsidR="004B6B39" w:rsidRDefault="004B6B39" w:rsidP="00F6312C">
            <w:pPr>
              <w:spacing w:line="240" w:lineRule="atLeast"/>
              <w:rPr>
                <w:sz w:val="24"/>
              </w:rPr>
            </w:pPr>
          </w:p>
          <w:p w:rsidR="004B6B39" w:rsidRDefault="004B6B39" w:rsidP="00F6312C">
            <w:pPr>
              <w:spacing w:line="240" w:lineRule="atLeast"/>
              <w:rPr>
                <w:sz w:val="24"/>
              </w:rPr>
            </w:pPr>
          </w:p>
          <w:p w:rsidR="004B6B39" w:rsidRDefault="004B6B39" w:rsidP="00F6312C">
            <w:pPr>
              <w:spacing w:line="240" w:lineRule="atLeast"/>
              <w:rPr>
                <w:sz w:val="24"/>
              </w:rPr>
            </w:pPr>
          </w:p>
          <w:p w:rsidR="004B6B39" w:rsidRDefault="004B6B39" w:rsidP="00F6312C">
            <w:pPr>
              <w:spacing w:line="240" w:lineRule="atLeast"/>
              <w:rPr>
                <w:sz w:val="24"/>
              </w:rPr>
            </w:pPr>
          </w:p>
          <w:p w:rsidR="004B6B39" w:rsidRDefault="004B6B39" w:rsidP="00F6312C">
            <w:pPr>
              <w:spacing w:line="240" w:lineRule="atLeast"/>
              <w:rPr>
                <w:sz w:val="24"/>
              </w:rPr>
            </w:pPr>
          </w:p>
          <w:p w:rsidR="004B6B39" w:rsidRDefault="004B6B39" w:rsidP="00F6312C">
            <w:pPr>
              <w:spacing w:line="240" w:lineRule="atLeast"/>
              <w:rPr>
                <w:sz w:val="24"/>
              </w:rPr>
            </w:pPr>
            <w:r>
              <w:rPr>
                <w:sz w:val="24"/>
              </w:rPr>
              <w:t>22/04/2024</w:t>
            </w:r>
          </w:p>
          <w:p w:rsidR="004B6B39" w:rsidRDefault="004B6B39" w:rsidP="00F6312C">
            <w:pPr>
              <w:spacing w:line="240" w:lineRule="atLeast"/>
              <w:rPr>
                <w:sz w:val="24"/>
              </w:rPr>
            </w:pP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B6B39" w:rsidRDefault="002368C6" w:rsidP="00F6312C">
            <w:pPr>
              <w:spacing w:line="240" w:lineRule="atLeast"/>
              <w:jc w:val="center"/>
              <w:rPr>
                <w:sz w:val="24"/>
              </w:rPr>
            </w:pPr>
            <w:r>
              <w:rPr>
                <w:sz w:val="24"/>
              </w:rPr>
              <w:t>V5.0</w:t>
            </w: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4B6B39" w:rsidRDefault="002368C6" w:rsidP="00F6312C">
            <w:pPr>
              <w:spacing w:line="240" w:lineRule="atLeast"/>
              <w:jc w:val="center"/>
              <w:rPr>
                <w:sz w:val="24"/>
              </w:rPr>
            </w:pPr>
            <w:r>
              <w:rPr>
                <w:sz w:val="24"/>
              </w:rPr>
              <w:t>V5.0</w:t>
            </w:r>
          </w:p>
          <w:p w:rsidR="004B6B39" w:rsidRDefault="004B6B39" w:rsidP="00F6312C">
            <w:pPr>
              <w:spacing w:line="240" w:lineRule="atLeast"/>
              <w:jc w:val="center"/>
              <w:rPr>
                <w:sz w:val="24"/>
              </w:rPr>
            </w:pPr>
          </w:p>
        </w:tc>
        <w:tc>
          <w:tcPr>
            <w:tcW w:w="38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B6B39" w:rsidRDefault="004B6B39" w:rsidP="00F6312C">
            <w:pPr>
              <w:spacing w:line="240" w:lineRule="atLeast"/>
              <w:ind w:left="720"/>
              <w:rPr>
                <w:sz w:val="24"/>
                <w:u w:val="single"/>
                <w:shd w:val="clear" w:color="auto" w:fill="FFFFFF"/>
              </w:rPr>
            </w:pPr>
          </w:p>
          <w:p w:rsidR="004B6B39" w:rsidRDefault="004B6B39" w:rsidP="00F6312C">
            <w:pPr>
              <w:spacing w:line="240" w:lineRule="atLeast"/>
              <w:rPr>
                <w:sz w:val="24"/>
                <w:shd w:val="clear" w:color="auto" w:fill="FFFFFF"/>
              </w:rPr>
            </w:pPr>
            <w:r w:rsidRPr="00795C5E">
              <w:rPr>
                <w:sz w:val="24"/>
                <w:u w:val="single"/>
                <w:shd w:val="clear" w:color="auto" w:fill="FFFFFF"/>
              </w:rPr>
              <w:t>I</w:t>
            </w:r>
            <w:r w:rsidRPr="00795C5E">
              <w:rPr>
                <w:sz w:val="24"/>
                <w:shd w:val="clear" w:color="auto" w:fill="FFFFFF"/>
              </w:rPr>
              <w:t>EP SLA - added a link to</w:t>
            </w:r>
          </w:p>
          <w:p w:rsidR="004B6B39" w:rsidRPr="00795C5E" w:rsidRDefault="004B6B39" w:rsidP="00F6312C">
            <w:pPr>
              <w:spacing w:line="240" w:lineRule="atLeast"/>
              <w:rPr>
                <w:sz w:val="24"/>
              </w:rPr>
            </w:pPr>
            <w:proofErr w:type="gramStart"/>
            <w:r w:rsidRPr="00795C5E">
              <w:rPr>
                <w:sz w:val="24"/>
                <w:shd w:val="clear" w:color="auto" w:fill="FFFFFF"/>
              </w:rPr>
              <w:t>the</w:t>
            </w:r>
            <w:proofErr w:type="gramEnd"/>
            <w:r w:rsidRPr="00795C5E">
              <w:rPr>
                <w:sz w:val="24"/>
                <w:shd w:val="clear" w:color="auto" w:fill="FFFFFF"/>
              </w:rPr>
              <w:t xml:space="preserve"> 2021 good practice guidelines, which have somewhat replaced the 2010 document in some areas of practice. Also removed mention that Frontier was the current national provider, they are now </w:t>
            </w:r>
            <w:proofErr w:type="spellStart"/>
            <w:r w:rsidRPr="00795C5E">
              <w:rPr>
                <w:sz w:val="24"/>
                <w:shd w:val="clear" w:color="auto" w:fill="FFFFFF"/>
              </w:rPr>
              <w:t>Vernacare</w:t>
            </w:r>
            <w:proofErr w:type="spellEnd"/>
            <w:r w:rsidRPr="00795C5E">
              <w:rPr>
                <w:sz w:val="24"/>
                <w:shd w:val="clear" w:color="auto" w:fill="FFFFFF"/>
              </w:rPr>
              <w:t xml:space="preserve"> and Orion is the primary supplier.</w:t>
            </w:r>
          </w:p>
          <w:p w:rsidR="004B6B39" w:rsidRDefault="004B6B39" w:rsidP="00F6312C">
            <w:pPr>
              <w:spacing w:line="240" w:lineRule="atLeast"/>
              <w:rPr>
                <w:sz w:val="24"/>
              </w:rPr>
            </w:pPr>
          </w:p>
          <w:p w:rsidR="004B6B39" w:rsidRDefault="004B6B39" w:rsidP="00F6312C">
            <w:pPr>
              <w:spacing w:line="240" w:lineRule="atLeast"/>
              <w:rPr>
                <w:sz w:val="24"/>
              </w:rPr>
            </w:pPr>
            <w:r>
              <w:rPr>
                <w:sz w:val="24"/>
              </w:rPr>
              <w:t>Section 7 &amp; 8 added</w:t>
            </w:r>
          </w:p>
          <w:p w:rsidR="004B6B39" w:rsidRDefault="004B6B39" w:rsidP="00F6312C">
            <w:pPr>
              <w:spacing w:line="240" w:lineRule="atLeast"/>
              <w:rPr>
                <w:sz w:val="24"/>
              </w:rPr>
            </w:pPr>
          </w:p>
          <w:p w:rsidR="004B6B39" w:rsidRDefault="004B6B39" w:rsidP="00F6312C">
            <w:pPr>
              <w:spacing w:line="240" w:lineRule="atLeast"/>
              <w:rPr>
                <w:sz w:val="24"/>
              </w:rPr>
            </w:pPr>
          </w:p>
          <w:p w:rsidR="004B6B39" w:rsidRDefault="004B6B39" w:rsidP="00F6312C">
            <w:pPr>
              <w:spacing w:line="240" w:lineRule="atLeast"/>
              <w:rPr>
                <w:sz w:val="24"/>
              </w:rPr>
            </w:pPr>
          </w:p>
        </w:tc>
        <w:tc>
          <w:tcPr>
            <w:tcW w:w="177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B6B39" w:rsidRDefault="004B6B39" w:rsidP="00F6312C">
            <w:pPr>
              <w:spacing w:line="240" w:lineRule="atLeast"/>
              <w:jc w:val="center"/>
              <w:rPr>
                <w:sz w:val="24"/>
              </w:rPr>
            </w:pPr>
          </w:p>
          <w:p w:rsidR="004B6B39" w:rsidRDefault="004B6B39" w:rsidP="00F6312C">
            <w:pPr>
              <w:spacing w:line="240" w:lineRule="atLeast"/>
              <w:jc w:val="center"/>
              <w:rPr>
                <w:b/>
                <w:i/>
                <w:sz w:val="24"/>
              </w:rPr>
            </w:pPr>
            <w:r>
              <w:rPr>
                <w:b/>
                <w:i/>
                <w:sz w:val="24"/>
              </w:rPr>
              <w:t>Alex Adam</w:t>
            </w:r>
          </w:p>
          <w:p w:rsidR="004B6B39" w:rsidRDefault="004B6B39" w:rsidP="00F6312C">
            <w:pPr>
              <w:spacing w:line="240" w:lineRule="atLeast"/>
              <w:jc w:val="center"/>
              <w:rPr>
                <w:b/>
                <w:i/>
                <w:sz w:val="24"/>
              </w:rPr>
            </w:pPr>
          </w:p>
          <w:p w:rsidR="004B6B39" w:rsidRDefault="004B6B39" w:rsidP="00F6312C">
            <w:pPr>
              <w:spacing w:line="240" w:lineRule="atLeast"/>
              <w:jc w:val="center"/>
              <w:rPr>
                <w:b/>
                <w:i/>
                <w:sz w:val="24"/>
              </w:rPr>
            </w:pPr>
          </w:p>
          <w:p w:rsidR="004B6B39" w:rsidRDefault="004B6B39" w:rsidP="00F6312C">
            <w:pPr>
              <w:spacing w:line="240" w:lineRule="atLeast"/>
              <w:jc w:val="center"/>
              <w:rPr>
                <w:sz w:val="24"/>
              </w:rPr>
            </w:pPr>
          </w:p>
          <w:p w:rsidR="00C3375C" w:rsidRDefault="00C3375C" w:rsidP="00F6312C">
            <w:pPr>
              <w:spacing w:line="240" w:lineRule="atLeast"/>
              <w:jc w:val="center"/>
              <w:rPr>
                <w:sz w:val="24"/>
              </w:rPr>
            </w:pPr>
          </w:p>
          <w:p w:rsidR="00C3375C" w:rsidRDefault="00C3375C" w:rsidP="00F6312C">
            <w:pPr>
              <w:spacing w:line="240" w:lineRule="atLeast"/>
              <w:jc w:val="center"/>
              <w:rPr>
                <w:sz w:val="24"/>
              </w:rPr>
            </w:pPr>
          </w:p>
          <w:p w:rsidR="00C3375C" w:rsidRDefault="00C3375C" w:rsidP="00F6312C">
            <w:pPr>
              <w:spacing w:line="240" w:lineRule="atLeast"/>
              <w:jc w:val="center"/>
              <w:rPr>
                <w:sz w:val="24"/>
              </w:rPr>
            </w:pPr>
          </w:p>
          <w:p w:rsidR="00C3375C" w:rsidRDefault="00C3375C" w:rsidP="00F6312C">
            <w:pPr>
              <w:spacing w:line="240" w:lineRule="atLeast"/>
              <w:jc w:val="center"/>
              <w:rPr>
                <w:sz w:val="24"/>
              </w:rPr>
            </w:pPr>
          </w:p>
          <w:p w:rsidR="00C3375C" w:rsidRDefault="00C3375C" w:rsidP="00F6312C">
            <w:pPr>
              <w:spacing w:line="240" w:lineRule="atLeast"/>
              <w:jc w:val="center"/>
              <w:rPr>
                <w:sz w:val="24"/>
              </w:rPr>
            </w:pPr>
          </w:p>
          <w:p w:rsidR="00C3375C" w:rsidRDefault="00C3375C" w:rsidP="00C3375C">
            <w:pPr>
              <w:spacing w:line="240" w:lineRule="atLeast"/>
              <w:jc w:val="center"/>
              <w:rPr>
                <w:sz w:val="24"/>
              </w:rPr>
            </w:pPr>
            <w:r>
              <w:rPr>
                <w:sz w:val="24"/>
              </w:rPr>
              <w:t xml:space="preserve">Joint Pharmacy Team </w:t>
            </w:r>
          </w:p>
          <w:p w:rsidR="00C3375C" w:rsidRDefault="00C3375C" w:rsidP="00F6312C">
            <w:pPr>
              <w:spacing w:line="240" w:lineRule="atLeast"/>
              <w:jc w:val="center"/>
              <w:rPr>
                <w:sz w:val="24"/>
              </w:rPr>
            </w:pPr>
          </w:p>
        </w:tc>
        <w:tc>
          <w:tcPr>
            <w:tcW w:w="157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B6B39" w:rsidRDefault="004B6B39" w:rsidP="00F6312C">
            <w:pPr>
              <w:spacing w:line="240" w:lineRule="atLeast"/>
              <w:jc w:val="center"/>
              <w:rPr>
                <w:sz w:val="24"/>
              </w:rPr>
            </w:pPr>
          </w:p>
          <w:p w:rsidR="004B6B39" w:rsidRDefault="004B6B39" w:rsidP="00F6312C">
            <w:pPr>
              <w:spacing w:line="240" w:lineRule="atLeast"/>
              <w:jc w:val="center"/>
              <w:rPr>
                <w:sz w:val="24"/>
              </w:rPr>
            </w:pPr>
            <w:r>
              <w:rPr>
                <w:sz w:val="24"/>
              </w:rPr>
              <w:t>Feb 2025</w:t>
            </w: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4B6B39" w:rsidRDefault="004B6B39" w:rsidP="00F6312C">
            <w:pPr>
              <w:spacing w:line="240" w:lineRule="atLeast"/>
              <w:jc w:val="center"/>
              <w:rPr>
                <w:sz w:val="24"/>
              </w:rPr>
            </w:pPr>
          </w:p>
          <w:p w:rsidR="00C3375C" w:rsidRDefault="00C3375C" w:rsidP="00F6312C">
            <w:pPr>
              <w:spacing w:line="240" w:lineRule="atLeast"/>
              <w:jc w:val="center"/>
              <w:rPr>
                <w:sz w:val="24"/>
              </w:rPr>
            </w:pPr>
          </w:p>
          <w:p w:rsidR="00C3375C" w:rsidRDefault="00C3375C" w:rsidP="00F6312C">
            <w:pPr>
              <w:spacing w:line="240" w:lineRule="atLeast"/>
              <w:jc w:val="center"/>
              <w:rPr>
                <w:sz w:val="24"/>
              </w:rPr>
            </w:pPr>
          </w:p>
          <w:p w:rsidR="00C3375C" w:rsidRDefault="00C3375C" w:rsidP="00F6312C">
            <w:pPr>
              <w:spacing w:line="240" w:lineRule="atLeast"/>
              <w:jc w:val="center"/>
              <w:rPr>
                <w:sz w:val="24"/>
              </w:rPr>
            </w:pPr>
          </w:p>
          <w:p w:rsidR="004B6B39" w:rsidRDefault="004B6B39" w:rsidP="00494B97">
            <w:pPr>
              <w:spacing w:line="240" w:lineRule="atLeast"/>
              <w:rPr>
                <w:sz w:val="24"/>
              </w:rPr>
            </w:pPr>
            <w:r>
              <w:rPr>
                <w:sz w:val="24"/>
              </w:rPr>
              <w:t>Feb 2025</w:t>
            </w:r>
          </w:p>
        </w:tc>
      </w:tr>
    </w:tbl>
    <w:p w:rsidR="004B6B39" w:rsidRPr="001C63A9" w:rsidRDefault="004B6B39" w:rsidP="004B6B39">
      <w:pPr>
        <w:pStyle w:val="ListParagraph"/>
        <w:tabs>
          <w:tab w:val="left" w:pos="7610"/>
        </w:tabs>
        <w:ind w:left="720"/>
        <w:rPr>
          <w:color w:val="000000" w:themeColor="text1"/>
          <w:sz w:val="24"/>
        </w:rPr>
      </w:pPr>
    </w:p>
    <w:sectPr w:rsidR="004B6B39" w:rsidRPr="001C63A9" w:rsidSect="00E60195">
      <w:footerReference w:type="default" r:id="rId13"/>
      <w:pgSz w:w="11910" w:h="16840"/>
      <w:pgMar w:top="0" w:right="1220" w:bottom="1120" w:left="1220"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2C" w:rsidRDefault="00F6312C" w:rsidP="00C61C4F">
      <w:r>
        <w:separator/>
      </w:r>
    </w:p>
  </w:endnote>
  <w:endnote w:type="continuationSeparator" w:id="0">
    <w:p w:rsidR="00F6312C" w:rsidRDefault="00F6312C" w:rsidP="00C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3407"/>
      <w:docPartObj>
        <w:docPartGallery w:val="Page Numbers (Bottom of Page)"/>
        <w:docPartUnique/>
      </w:docPartObj>
    </w:sdtPr>
    <w:sdtEndPr/>
    <w:sdtContent>
      <w:p w:rsidR="00F6312C" w:rsidRDefault="00F6312C" w:rsidP="004F36DF">
        <w:pPr>
          <w:pStyle w:val="Footer"/>
          <w:ind w:left="4127" w:firstLine="4513"/>
        </w:pPr>
        <w:r w:rsidRPr="004F36DF">
          <w:rPr>
            <w:sz w:val="24"/>
          </w:rPr>
          <w:fldChar w:fldCharType="begin"/>
        </w:r>
        <w:r w:rsidRPr="004F36DF">
          <w:rPr>
            <w:sz w:val="24"/>
          </w:rPr>
          <w:instrText xml:space="preserve"> PAGE   \* MERGEFORMAT </w:instrText>
        </w:r>
        <w:r w:rsidRPr="004F36DF">
          <w:rPr>
            <w:sz w:val="24"/>
          </w:rPr>
          <w:fldChar w:fldCharType="separate"/>
        </w:r>
        <w:r w:rsidR="0038500E">
          <w:rPr>
            <w:noProof/>
            <w:sz w:val="24"/>
          </w:rPr>
          <w:t>8</w:t>
        </w:r>
        <w:r w:rsidRPr="004F36DF">
          <w:rPr>
            <w:sz w:val="24"/>
          </w:rPr>
          <w:fldChar w:fldCharType="end"/>
        </w:r>
      </w:p>
    </w:sdtContent>
  </w:sdt>
  <w:p w:rsidR="00F6312C" w:rsidRPr="009710E0" w:rsidRDefault="00F6312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2C" w:rsidRDefault="00F6312C" w:rsidP="00C61C4F">
      <w:r>
        <w:separator/>
      </w:r>
    </w:p>
  </w:footnote>
  <w:footnote w:type="continuationSeparator" w:id="0">
    <w:p w:rsidR="00F6312C" w:rsidRDefault="00F6312C" w:rsidP="00C61C4F">
      <w:r>
        <w:continuationSeparator/>
      </w:r>
    </w:p>
  </w:footnote>
  <w:footnote w:id="1">
    <w:p w:rsidR="00F6312C" w:rsidRDefault="00F6312C" w:rsidP="003849B4">
      <w:pPr>
        <w:pStyle w:val="FootnoteText"/>
      </w:pPr>
      <w:r>
        <w:rPr>
          <w:rStyle w:val="FootnoteReference"/>
        </w:rPr>
        <w:footnoteRef/>
      </w:r>
      <w:r>
        <w:t xml:space="preserve"> Updated guidelines are in the consultation phase currently (February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17E4"/>
    <w:multiLevelType w:val="hybridMultilevel"/>
    <w:tmpl w:val="9532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A663A"/>
    <w:multiLevelType w:val="hybridMultilevel"/>
    <w:tmpl w:val="21E4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41C63"/>
    <w:multiLevelType w:val="hybridMultilevel"/>
    <w:tmpl w:val="8D0A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55EB6"/>
    <w:multiLevelType w:val="hybridMultilevel"/>
    <w:tmpl w:val="89B8C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A060D3"/>
    <w:multiLevelType w:val="hybridMultilevel"/>
    <w:tmpl w:val="B7A24D9E"/>
    <w:lvl w:ilvl="0" w:tplc="09C404F4">
      <w:numFmt w:val="bullet"/>
      <w:lvlText w:val=""/>
      <w:lvlJc w:val="left"/>
      <w:pPr>
        <w:ind w:left="827" w:hanging="360"/>
      </w:pPr>
      <w:rPr>
        <w:rFonts w:ascii="Symbol" w:eastAsia="Symbol" w:hAnsi="Symbol" w:cs="Symbol" w:hint="default"/>
        <w:w w:val="100"/>
        <w:sz w:val="24"/>
        <w:szCs w:val="24"/>
        <w:lang w:val="en-GB" w:eastAsia="en-GB" w:bidi="en-GB"/>
      </w:rPr>
    </w:lvl>
    <w:lvl w:ilvl="1" w:tplc="567A0B7A">
      <w:numFmt w:val="bullet"/>
      <w:lvlText w:val="•"/>
      <w:lvlJc w:val="left"/>
      <w:pPr>
        <w:ind w:left="1572" w:hanging="360"/>
      </w:pPr>
      <w:rPr>
        <w:rFonts w:hint="default"/>
        <w:lang w:val="en-GB" w:eastAsia="en-GB" w:bidi="en-GB"/>
      </w:rPr>
    </w:lvl>
    <w:lvl w:ilvl="2" w:tplc="9E1CFDE4">
      <w:numFmt w:val="bullet"/>
      <w:lvlText w:val="•"/>
      <w:lvlJc w:val="left"/>
      <w:pPr>
        <w:ind w:left="2325" w:hanging="360"/>
      </w:pPr>
      <w:rPr>
        <w:rFonts w:hint="default"/>
        <w:lang w:val="en-GB" w:eastAsia="en-GB" w:bidi="en-GB"/>
      </w:rPr>
    </w:lvl>
    <w:lvl w:ilvl="3" w:tplc="A8125E3C">
      <w:numFmt w:val="bullet"/>
      <w:lvlText w:val="•"/>
      <w:lvlJc w:val="left"/>
      <w:pPr>
        <w:ind w:left="3078" w:hanging="360"/>
      </w:pPr>
      <w:rPr>
        <w:rFonts w:hint="default"/>
        <w:lang w:val="en-GB" w:eastAsia="en-GB" w:bidi="en-GB"/>
      </w:rPr>
    </w:lvl>
    <w:lvl w:ilvl="4" w:tplc="9F42400E">
      <w:numFmt w:val="bullet"/>
      <w:lvlText w:val="•"/>
      <w:lvlJc w:val="left"/>
      <w:pPr>
        <w:ind w:left="3831" w:hanging="360"/>
      </w:pPr>
      <w:rPr>
        <w:rFonts w:hint="default"/>
        <w:lang w:val="en-GB" w:eastAsia="en-GB" w:bidi="en-GB"/>
      </w:rPr>
    </w:lvl>
    <w:lvl w:ilvl="5" w:tplc="E57A1228">
      <w:numFmt w:val="bullet"/>
      <w:lvlText w:val="•"/>
      <w:lvlJc w:val="left"/>
      <w:pPr>
        <w:ind w:left="4584" w:hanging="360"/>
      </w:pPr>
      <w:rPr>
        <w:rFonts w:hint="default"/>
        <w:lang w:val="en-GB" w:eastAsia="en-GB" w:bidi="en-GB"/>
      </w:rPr>
    </w:lvl>
    <w:lvl w:ilvl="6" w:tplc="F06031B8">
      <w:numFmt w:val="bullet"/>
      <w:lvlText w:val="•"/>
      <w:lvlJc w:val="left"/>
      <w:pPr>
        <w:ind w:left="5336" w:hanging="360"/>
      </w:pPr>
      <w:rPr>
        <w:rFonts w:hint="default"/>
        <w:lang w:val="en-GB" w:eastAsia="en-GB" w:bidi="en-GB"/>
      </w:rPr>
    </w:lvl>
    <w:lvl w:ilvl="7" w:tplc="B05E73DA">
      <w:numFmt w:val="bullet"/>
      <w:lvlText w:val="•"/>
      <w:lvlJc w:val="left"/>
      <w:pPr>
        <w:ind w:left="6089" w:hanging="360"/>
      </w:pPr>
      <w:rPr>
        <w:rFonts w:hint="default"/>
        <w:lang w:val="en-GB" w:eastAsia="en-GB" w:bidi="en-GB"/>
      </w:rPr>
    </w:lvl>
    <w:lvl w:ilvl="8" w:tplc="F886D7B8">
      <w:numFmt w:val="bullet"/>
      <w:lvlText w:val="•"/>
      <w:lvlJc w:val="left"/>
      <w:pPr>
        <w:ind w:left="6842" w:hanging="360"/>
      </w:pPr>
      <w:rPr>
        <w:rFonts w:hint="default"/>
        <w:lang w:val="en-GB" w:eastAsia="en-GB" w:bidi="en-GB"/>
      </w:rPr>
    </w:lvl>
  </w:abstractNum>
  <w:abstractNum w:abstractNumId="5" w15:restartNumberingAfterBreak="0">
    <w:nsid w:val="23117722"/>
    <w:multiLevelType w:val="hybridMultilevel"/>
    <w:tmpl w:val="44D071DE"/>
    <w:lvl w:ilvl="0" w:tplc="F0547490">
      <w:numFmt w:val="bullet"/>
      <w:lvlText w:val=""/>
      <w:lvlJc w:val="left"/>
      <w:pPr>
        <w:ind w:left="827" w:hanging="360"/>
      </w:pPr>
      <w:rPr>
        <w:rFonts w:ascii="Symbol" w:eastAsia="Symbol" w:hAnsi="Symbol" w:cs="Symbol" w:hint="default"/>
        <w:w w:val="100"/>
        <w:sz w:val="24"/>
        <w:szCs w:val="24"/>
        <w:lang w:val="en-GB" w:eastAsia="en-GB" w:bidi="en-GB"/>
      </w:rPr>
    </w:lvl>
    <w:lvl w:ilvl="1" w:tplc="30DE43E6">
      <w:numFmt w:val="bullet"/>
      <w:lvlText w:val="•"/>
      <w:lvlJc w:val="left"/>
      <w:pPr>
        <w:ind w:left="1572" w:hanging="360"/>
      </w:pPr>
      <w:rPr>
        <w:rFonts w:hint="default"/>
        <w:lang w:val="en-GB" w:eastAsia="en-GB" w:bidi="en-GB"/>
      </w:rPr>
    </w:lvl>
    <w:lvl w:ilvl="2" w:tplc="54885D5C">
      <w:numFmt w:val="bullet"/>
      <w:lvlText w:val="•"/>
      <w:lvlJc w:val="left"/>
      <w:pPr>
        <w:ind w:left="2325" w:hanging="360"/>
      </w:pPr>
      <w:rPr>
        <w:rFonts w:hint="default"/>
        <w:lang w:val="en-GB" w:eastAsia="en-GB" w:bidi="en-GB"/>
      </w:rPr>
    </w:lvl>
    <w:lvl w:ilvl="3" w:tplc="197C06AA">
      <w:numFmt w:val="bullet"/>
      <w:lvlText w:val="•"/>
      <w:lvlJc w:val="left"/>
      <w:pPr>
        <w:ind w:left="3078" w:hanging="360"/>
      </w:pPr>
      <w:rPr>
        <w:rFonts w:hint="default"/>
        <w:lang w:val="en-GB" w:eastAsia="en-GB" w:bidi="en-GB"/>
      </w:rPr>
    </w:lvl>
    <w:lvl w:ilvl="4" w:tplc="04C092D6">
      <w:numFmt w:val="bullet"/>
      <w:lvlText w:val="•"/>
      <w:lvlJc w:val="left"/>
      <w:pPr>
        <w:ind w:left="3831" w:hanging="360"/>
      </w:pPr>
      <w:rPr>
        <w:rFonts w:hint="default"/>
        <w:lang w:val="en-GB" w:eastAsia="en-GB" w:bidi="en-GB"/>
      </w:rPr>
    </w:lvl>
    <w:lvl w:ilvl="5" w:tplc="90D6D644">
      <w:numFmt w:val="bullet"/>
      <w:lvlText w:val="•"/>
      <w:lvlJc w:val="left"/>
      <w:pPr>
        <w:ind w:left="4584" w:hanging="360"/>
      </w:pPr>
      <w:rPr>
        <w:rFonts w:hint="default"/>
        <w:lang w:val="en-GB" w:eastAsia="en-GB" w:bidi="en-GB"/>
      </w:rPr>
    </w:lvl>
    <w:lvl w:ilvl="6" w:tplc="8C3C3CAA">
      <w:numFmt w:val="bullet"/>
      <w:lvlText w:val="•"/>
      <w:lvlJc w:val="left"/>
      <w:pPr>
        <w:ind w:left="5336" w:hanging="360"/>
      </w:pPr>
      <w:rPr>
        <w:rFonts w:hint="default"/>
        <w:lang w:val="en-GB" w:eastAsia="en-GB" w:bidi="en-GB"/>
      </w:rPr>
    </w:lvl>
    <w:lvl w:ilvl="7" w:tplc="B7A6CFE6">
      <w:numFmt w:val="bullet"/>
      <w:lvlText w:val="•"/>
      <w:lvlJc w:val="left"/>
      <w:pPr>
        <w:ind w:left="6089" w:hanging="360"/>
      </w:pPr>
      <w:rPr>
        <w:rFonts w:hint="default"/>
        <w:lang w:val="en-GB" w:eastAsia="en-GB" w:bidi="en-GB"/>
      </w:rPr>
    </w:lvl>
    <w:lvl w:ilvl="8" w:tplc="439C0C7C">
      <w:numFmt w:val="bullet"/>
      <w:lvlText w:val="•"/>
      <w:lvlJc w:val="left"/>
      <w:pPr>
        <w:ind w:left="6842" w:hanging="360"/>
      </w:pPr>
      <w:rPr>
        <w:rFonts w:hint="default"/>
        <w:lang w:val="en-GB" w:eastAsia="en-GB" w:bidi="en-GB"/>
      </w:rPr>
    </w:lvl>
  </w:abstractNum>
  <w:abstractNum w:abstractNumId="6" w15:restartNumberingAfterBreak="0">
    <w:nsid w:val="247432B8"/>
    <w:multiLevelType w:val="hybridMultilevel"/>
    <w:tmpl w:val="0672A02A"/>
    <w:lvl w:ilvl="0" w:tplc="C11AAA62">
      <w:start w:val="1"/>
      <w:numFmt w:val="decimal"/>
      <w:lvlText w:val="%1."/>
      <w:lvlJc w:val="left"/>
      <w:pPr>
        <w:ind w:left="468" w:hanging="360"/>
      </w:pPr>
      <w:rPr>
        <w:rFonts w:hint="default"/>
        <w:w w:val="9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7" w15:restartNumberingAfterBreak="0">
    <w:nsid w:val="2AFC3C67"/>
    <w:multiLevelType w:val="hybridMultilevel"/>
    <w:tmpl w:val="F69EA6D0"/>
    <w:lvl w:ilvl="0" w:tplc="03D0B330">
      <w:numFmt w:val="bullet"/>
      <w:lvlText w:val=""/>
      <w:lvlJc w:val="left"/>
      <w:pPr>
        <w:ind w:left="920" w:hanging="360"/>
      </w:pPr>
      <w:rPr>
        <w:rFonts w:ascii="Symbol" w:eastAsia="Symbol" w:hAnsi="Symbol" w:cs="Symbol" w:hint="default"/>
        <w:w w:val="100"/>
        <w:sz w:val="24"/>
        <w:szCs w:val="24"/>
        <w:lang w:val="en-GB" w:eastAsia="en-GB" w:bidi="en-GB"/>
      </w:rPr>
    </w:lvl>
    <w:lvl w:ilvl="1" w:tplc="AFCCD518">
      <w:numFmt w:val="bullet"/>
      <w:lvlText w:val="o"/>
      <w:lvlJc w:val="left"/>
      <w:pPr>
        <w:ind w:left="1280" w:hanging="360"/>
      </w:pPr>
      <w:rPr>
        <w:rFonts w:ascii="Courier New" w:eastAsia="Courier New" w:hAnsi="Courier New" w:cs="Courier New" w:hint="default"/>
        <w:w w:val="100"/>
        <w:sz w:val="24"/>
        <w:szCs w:val="24"/>
        <w:lang w:val="en-GB" w:eastAsia="en-GB" w:bidi="en-GB"/>
      </w:rPr>
    </w:lvl>
    <w:lvl w:ilvl="2" w:tplc="B3EACBCA">
      <w:numFmt w:val="bullet"/>
      <w:lvlText w:val="•"/>
      <w:lvlJc w:val="left"/>
      <w:pPr>
        <w:ind w:left="2075" w:hanging="360"/>
      </w:pPr>
      <w:rPr>
        <w:rFonts w:hint="default"/>
        <w:lang w:val="en-GB" w:eastAsia="en-GB" w:bidi="en-GB"/>
      </w:rPr>
    </w:lvl>
    <w:lvl w:ilvl="3" w:tplc="AFFE1D18">
      <w:numFmt w:val="bullet"/>
      <w:lvlText w:val="•"/>
      <w:lvlJc w:val="left"/>
      <w:pPr>
        <w:ind w:left="2871" w:hanging="360"/>
      </w:pPr>
      <w:rPr>
        <w:rFonts w:hint="default"/>
        <w:lang w:val="en-GB" w:eastAsia="en-GB" w:bidi="en-GB"/>
      </w:rPr>
    </w:lvl>
    <w:lvl w:ilvl="4" w:tplc="A5FC1E98">
      <w:numFmt w:val="bullet"/>
      <w:lvlText w:val="•"/>
      <w:lvlJc w:val="left"/>
      <w:pPr>
        <w:ind w:left="3667" w:hanging="360"/>
      </w:pPr>
      <w:rPr>
        <w:rFonts w:hint="default"/>
        <w:lang w:val="en-GB" w:eastAsia="en-GB" w:bidi="en-GB"/>
      </w:rPr>
    </w:lvl>
    <w:lvl w:ilvl="5" w:tplc="F56E2AF0">
      <w:numFmt w:val="bullet"/>
      <w:lvlText w:val="•"/>
      <w:lvlJc w:val="left"/>
      <w:pPr>
        <w:ind w:left="4463" w:hanging="360"/>
      </w:pPr>
      <w:rPr>
        <w:rFonts w:hint="default"/>
        <w:lang w:val="en-GB" w:eastAsia="en-GB" w:bidi="en-GB"/>
      </w:rPr>
    </w:lvl>
    <w:lvl w:ilvl="6" w:tplc="7D6877E2">
      <w:numFmt w:val="bullet"/>
      <w:lvlText w:val="•"/>
      <w:lvlJc w:val="left"/>
      <w:pPr>
        <w:ind w:left="5258" w:hanging="360"/>
      </w:pPr>
      <w:rPr>
        <w:rFonts w:hint="default"/>
        <w:lang w:val="en-GB" w:eastAsia="en-GB" w:bidi="en-GB"/>
      </w:rPr>
    </w:lvl>
    <w:lvl w:ilvl="7" w:tplc="9A8A2F04">
      <w:numFmt w:val="bullet"/>
      <w:lvlText w:val="•"/>
      <w:lvlJc w:val="left"/>
      <w:pPr>
        <w:ind w:left="6054" w:hanging="360"/>
      </w:pPr>
      <w:rPr>
        <w:rFonts w:hint="default"/>
        <w:lang w:val="en-GB" w:eastAsia="en-GB" w:bidi="en-GB"/>
      </w:rPr>
    </w:lvl>
    <w:lvl w:ilvl="8" w:tplc="FCD8B50E">
      <w:numFmt w:val="bullet"/>
      <w:lvlText w:val="•"/>
      <w:lvlJc w:val="left"/>
      <w:pPr>
        <w:ind w:left="6850" w:hanging="360"/>
      </w:pPr>
      <w:rPr>
        <w:rFonts w:hint="default"/>
        <w:lang w:val="en-GB" w:eastAsia="en-GB" w:bidi="en-GB"/>
      </w:rPr>
    </w:lvl>
  </w:abstractNum>
  <w:abstractNum w:abstractNumId="8" w15:restartNumberingAfterBreak="0">
    <w:nsid w:val="3A033521"/>
    <w:multiLevelType w:val="hybridMultilevel"/>
    <w:tmpl w:val="C7C088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42A618E6"/>
    <w:multiLevelType w:val="multilevel"/>
    <w:tmpl w:val="03EA822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15:restartNumberingAfterBreak="0">
    <w:nsid w:val="437C1C26"/>
    <w:multiLevelType w:val="hybridMultilevel"/>
    <w:tmpl w:val="2244FADC"/>
    <w:lvl w:ilvl="0" w:tplc="4C6E6C94">
      <w:numFmt w:val="bullet"/>
      <w:lvlText w:val=""/>
      <w:lvlJc w:val="left"/>
      <w:pPr>
        <w:ind w:left="827" w:hanging="360"/>
      </w:pPr>
      <w:rPr>
        <w:rFonts w:ascii="Symbol" w:eastAsia="Symbol" w:hAnsi="Symbol" w:cs="Symbol" w:hint="default"/>
        <w:w w:val="100"/>
        <w:sz w:val="24"/>
        <w:szCs w:val="24"/>
        <w:lang w:val="en-GB" w:eastAsia="en-GB" w:bidi="en-GB"/>
      </w:rPr>
    </w:lvl>
    <w:lvl w:ilvl="1" w:tplc="FB56D3C4">
      <w:numFmt w:val="bullet"/>
      <w:lvlText w:val="•"/>
      <w:lvlJc w:val="left"/>
      <w:pPr>
        <w:ind w:left="1572" w:hanging="360"/>
      </w:pPr>
      <w:rPr>
        <w:rFonts w:hint="default"/>
        <w:lang w:val="en-GB" w:eastAsia="en-GB" w:bidi="en-GB"/>
      </w:rPr>
    </w:lvl>
    <w:lvl w:ilvl="2" w:tplc="946457CA">
      <w:numFmt w:val="bullet"/>
      <w:lvlText w:val="•"/>
      <w:lvlJc w:val="left"/>
      <w:pPr>
        <w:ind w:left="2325" w:hanging="360"/>
      </w:pPr>
      <w:rPr>
        <w:rFonts w:hint="default"/>
        <w:lang w:val="en-GB" w:eastAsia="en-GB" w:bidi="en-GB"/>
      </w:rPr>
    </w:lvl>
    <w:lvl w:ilvl="3" w:tplc="68FC23B6">
      <w:numFmt w:val="bullet"/>
      <w:lvlText w:val="•"/>
      <w:lvlJc w:val="left"/>
      <w:pPr>
        <w:ind w:left="3078" w:hanging="360"/>
      </w:pPr>
      <w:rPr>
        <w:rFonts w:hint="default"/>
        <w:lang w:val="en-GB" w:eastAsia="en-GB" w:bidi="en-GB"/>
      </w:rPr>
    </w:lvl>
    <w:lvl w:ilvl="4" w:tplc="77FA3478">
      <w:numFmt w:val="bullet"/>
      <w:lvlText w:val="•"/>
      <w:lvlJc w:val="left"/>
      <w:pPr>
        <w:ind w:left="3831" w:hanging="360"/>
      </w:pPr>
      <w:rPr>
        <w:rFonts w:hint="default"/>
        <w:lang w:val="en-GB" w:eastAsia="en-GB" w:bidi="en-GB"/>
      </w:rPr>
    </w:lvl>
    <w:lvl w:ilvl="5" w:tplc="6E6210B0">
      <w:numFmt w:val="bullet"/>
      <w:lvlText w:val="•"/>
      <w:lvlJc w:val="left"/>
      <w:pPr>
        <w:ind w:left="4584" w:hanging="360"/>
      </w:pPr>
      <w:rPr>
        <w:rFonts w:hint="default"/>
        <w:lang w:val="en-GB" w:eastAsia="en-GB" w:bidi="en-GB"/>
      </w:rPr>
    </w:lvl>
    <w:lvl w:ilvl="6" w:tplc="866A2B0C">
      <w:numFmt w:val="bullet"/>
      <w:lvlText w:val="•"/>
      <w:lvlJc w:val="left"/>
      <w:pPr>
        <w:ind w:left="5336" w:hanging="360"/>
      </w:pPr>
      <w:rPr>
        <w:rFonts w:hint="default"/>
        <w:lang w:val="en-GB" w:eastAsia="en-GB" w:bidi="en-GB"/>
      </w:rPr>
    </w:lvl>
    <w:lvl w:ilvl="7" w:tplc="F4389CD4">
      <w:numFmt w:val="bullet"/>
      <w:lvlText w:val="•"/>
      <w:lvlJc w:val="left"/>
      <w:pPr>
        <w:ind w:left="6089" w:hanging="360"/>
      </w:pPr>
      <w:rPr>
        <w:rFonts w:hint="default"/>
        <w:lang w:val="en-GB" w:eastAsia="en-GB" w:bidi="en-GB"/>
      </w:rPr>
    </w:lvl>
    <w:lvl w:ilvl="8" w:tplc="F5741DB6">
      <w:numFmt w:val="bullet"/>
      <w:lvlText w:val="•"/>
      <w:lvlJc w:val="left"/>
      <w:pPr>
        <w:ind w:left="6842" w:hanging="360"/>
      </w:pPr>
      <w:rPr>
        <w:rFonts w:hint="default"/>
        <w:lang w:val="en-GB" w:eastAsia="en-GB" w:bidi="en-GB"/>
      </w:rPr>
    </w:lvl>
  </w:abstractNum>
  <w:abstractNum w:abstractNumId="11" w15:restartNumberingAfterBreak="0">
    <w:nsid w:val="48A35D51"/>
    <w:multiLevelType w:val="hybridMultilevel"/>
    <w:tmpl w:val="873EEBBC"/>
    <w:lvl w:ilvl="0" w:tplc="1B9C839E">
      <w:numFmt w:val="bullet"/>
      <w:lvlText w:val=""/>
      <w:lvlJc w:val="left"/>
      <w:pPr>
        <w:ind w:left="1825" w:hanging="360"/>
      </w:pPr>
      <w:rPr>
        <w:rFonts w:ascii="Symbol" w:eastAsia="Symbol" w:hAnsi="Symbol" w:cs="Symbol" w:hint="default"/>
        <w:w w:val="99"/>
        <w:sz w:val="24"/>
        <w:szCs w:val="24"/>
      </w:rPr>
    </w:lvl>
    <w:lvl w:ilvl="1" w:tplc="ED80DB7A">
      <w:numFmt w:val="bullet"/>
      <w:lvlText w:val="•"/>
      <w:lvlJc w:val="left"/>
      <w:pPr>
        <w:ind w:left="2584" w:hanging="360"/>
      </w:pPr>
    </w:lvl>
    <w:lvl w:ilvl="2" w:tplc="5838C210">
      <w:numFmt w:val="bullet"/>
      <w:lvlText w:val="•"/>
      <w:lvlJc w:val="left"/>
      <w:pPr>
        <w:ind w:left="3348" w:hanging="360"/>
      </w:pPr>
    </w:lvl>
    <w:lvl w:ilvl="3" w:tplc="91A28146">
      <w:numFmt w:val="bullet"/>
      <w:lvlText w:val="•"/>
      <w:lvlJc w:val="left"/>
      <w:pPr>
        <w:ind w:left="4112" w:hanging="360"/>
      </w:pPr>
    </w:lvl>
    <w:lvl w:ilvl="4" w:tplc="C34A7256">
      <w:numFmt w:val="bullet"/>
      <w:lvlText w:val="•"/>
      <w:lvlJc w:val="left"/>
      <w:pPr>
        <w:ind w:left="4876" w:hanging="360"/>
      </w:pPr>
    </w:lvl>
    <w:lvl w:ilvl="5" w:tplc="B7CA50B4">
      <w:numFmt w:val="bullet"/>
      <w:lvlText w:val="•"/>
      <w:lvlJc w:val="left"/>
      <w:pPr>
        <w:ind w:left="5640" w:hanging="360"/>
      </w:pPr>
    </w:lvl>
    <w:lvl w:ilvl="6" w:tplc="5A7A6708">
      <w:numFmt w:val="bullet"/>
      <w:lvlText w:val="•"/>
      <w:lvlJc w:val="left"/>
      <w:pPr>
        <w:ind w:left="6404" w:hanging="360"/>
      </w:pPr>
    </w:lvl>
    <w:lvl w:ilvl="7" w:tplc="1AB4CCDA">
      <w:numFmt w:val="bullet"/>
      <w:lvlText w:val="•"/>
      <w:lvlJc w:val="left"/>
      <w:pPr>
        <w:ind w:left="7168" w:hanging="360"/>
      </w:pPr>
    </w:lvl>
    <w:lvl w:ilvl="8" w:tplc="488A3DCE">
      <w:numFmt w:val="bullet"/>
      <w:lvlText w:val="•"/>
      <w:lvlJc w:val="left"/>
      <w:pPr>
        <w:ind w:left="7932" w:hanging="360"/>
      </w:pPr>
    </w:lvl>
  </w:abstractNum>
  <w:abstractNum w:abstractNumId="12" w15:restartNumberingAfterBreak="0">
    <w:nsid w:val="51574BAC"/>
    <w:multiLevelType w:val="hybridMultilevel"/>
    <w:tmpl w:val="A066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F6442"/>
    <w:multiLevelType w:val="hybridMultilevel"/>
    <w:tmpl w:val="EFD0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A0D18"/>
    <w:multiLevelType w:val="hybridMultilevel"/>
    <w:tmpl w:val="E362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E248B"/>
    <w:multiLevelType w:val="hybridMultilevel"/>
    <w:tmpl w:val="697C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B001B"/>
    <w:multiLevelType w:val="hybridMultilevel"/>
    <w:tmpl w:val="7102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A0140"/>
    <w:multiLevelType w:val="hybridMultilevel"/>
    <w:tmpl w:val="3FCE4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7A517D"/>
    <w:multiLevelType w:val="hybridMultilevel"/>
    <w:tmpl w:val="48A419AC"/>
    <w:lvl w:ilvl="0" w:tplc="2F02DF28">
      <w:numFmt w:val="bullet"/>
      <w:lvlText w:val=""/>
      <w:lvlJc w:val="left"/>
      <w:pPr>
        <w:ind w:left="1013" w:hanging="360"/>
      </w:pPr>
      <w:rPr>
        <w:rFonts w:ascii="Symbol" w:eastAsia="Symbol" w:hAnsi="Symbol" w:cs="Symbol" w:hint="default"/>
        <w:w w:val="100"/>
        <w:sz w:val="24"/>
        <w:szCs w:val="24"/>
        <w:lang w:val="en-GB" w:eastAsia="en-GB" w:bidi="en-GB"/>
      </w:rPr>
    </w:lvl>
    <w:lvl w:ilvl="1" w:tplc="A05694AA">
      <w:numFmt w:val="bullet"/>
      <w:lvlText w:val="•"/>
      <w:lvlJc w:val="left"/>
      <w:pPr>
        <w:ind w:left="1771" w:hanging="360"/>
      </w:pPr>
      <w:rPr>
        <w:rFonts w:hint="default"/>
        <w:lang w:val="en-GB" w:eastAsia="en-GB" w:bidi="en-GB"/>
      </w:rPr>
    </w:lvl>
    <w:lvl w:ilvl="2" w:tplc="C212D16C">
      <w:numFmt w:val="bullet"/>
      <w:lvlText w:val="•"/>
      <w:lvlJc w:val="left"/>
      <w:pPr>
        <w:ind w:left="2522" w:hanging="360"/>
      </w:pPr>
      <w:rPr>
        <w:rFonts w:hint="default"/>
        <w:lang w:val="en-GB" w:eastAsia="en-GB" w:bidi="en-GB"/>
      </w:rPr>
    </w:lvl>
    <w:lvl w:ilvl="3" w:tplc="C9C03F38">
      <w:numFmt w:val="bullet"/>
      <w:lvlText w:val="•"/>
      <w:lvlJc w:val="left"/>
      <w:pPr>
        <w:ind w:left="3273" w:hanging="360"/>
      </w:pPr>
      <w:rPr>
        <w:rFonts w:hint="default"/>
        <w:lang w:val="en-GB" w:eastAsia="en-GB" w:bidi="en-GB"/>
      </w:rPr>
    </w:lvl>
    <w:lvl w:ilvl="4" w:tplc="A386EC12">
      <w:numFmt w:val="bullet"/>
      <w:lvlText w:val="•"/>
      <w:lvlJc w:val="left"/>
      <w:pPr>
        <w:ind w:left="4025" w:hanging="360"/>
      </w:pPr>
      <w:rPr>
        <w:rFonts w:hint="default"/>
        <w:lang w:val="en-GB" w:eastAsia="en-GB" w:bidi="en-GB"/>
      </w:rPr>
    </w:lvl>
    <w:lvl w:ilvl="5" w:tplc="1F0C7A9E">
      <w:numFmt w:val="bullet"/>
      <w:lvlText w:val="•"/>
      <w:lvlJc w:val="left"/>
      <w:pPr>
        <w:ind w:left="4776" w:hanging="360"/>
      </w:pPr>
      <w:rPr>
        <w:rFonts w:hint="default"/>
        <w:lang w:val="en-GB" w:eastAsia="en-GB" w:bidi="en-GB"/>
      </w:rPr>
    </w:lvl>
    <w:lvl w:ilvl="6" w:tplc="8D907364">
      <w:numFmt w:val="bullet"/>
      <w:lvlText w:val="•"/>
      <w:lvlJc w:val="left"/>
      <w:pPr>
        <w:ind w:left="5527" w:hanging="360"/>
      </w:pPr>
      <w:rPr>
        <w:rFonts w:hint="default"/>
        <w:lang w:val="en-GB" w:eastAsia="en-GB" w:bidi="en-GB"/>
      </w:rPr>
    </w:lvl>
    <w:lvl w:ilvl="7" w:tplc="36C6BCC8">
      <w:numFmt w:val="bullet"/>
      <w:lvlText w:val="•"/>
      <w:lvlJc w:val="left"/>
      <w:pPr>
        <w:ind w:left="6279" w:hanging="360"/>
      </w:pPr>
      <w:rPr>
        <w:rFonts w:hint="default"/>
        <w:lang w:val="en-GB" w:eastAsia="en-GB" w:bidi="en-GB"/>
      </w:rPr>
    </w:lvl>
    <w:lvl w:ilvl="8" w:tplc="F5F43AF6">
      <w:numFmt w:val="bullet"/>
      <w:lvlText w:val="•"/>
      <w:lvlJc w:val="left"/>
      <w:pPr>
        <w:ind w:left="7030" w:hanging="360"/>
      </w:pPr>
      <w:rPr>
        <w:rFonts w:hint="default"/>
        <w:lang w:val="en-GB" w:eastAsia="en-GB" w:bidi="en-GB"/>
      </w:rPr>
    </w:lvl>
  </w:abstractNum>
  <w:num w:numId="1">
    <w:abstractNumId w:val="18"/>
  </w:num>
  <w:num w:numId="2">
    <w:abstractNumId w:val="5"/>
  </w:num>
  <w:num w:numId="3">
    <w:abstractNumId w:val="4"/>
  </w:num>
  <w:num w:numId="4">
    <w:abstractNumId w:val="7"/>
  </w:num>
  <w:num w:numId="5">
    <w:abstractNumId w:val="10"/>
  </w:num>
  <w:num w:numId="6">
    <w:abstractNumId w:val="8"/>
  </w:num>
  <w:num w:numId="7">
    <w:abstractNumId w:val="0"/>
  </w:num>
  <w:num w:numId="8">
    <w:abstractNumId w:val="14"/>
  </w:num>
  <w:num w:numId="9">
    <w:abstractNumId w:val="16"/>
  </w:num>
  <w:num w:numId="10">
    <w:abstractNumId w:val="15"/>
  </w:num>
  <w:num w:numId="11">
    <w:abstractNumId w:val="2"/>
  </w:num>
  <w:num w:numId="12">
    <w:abstractNumId w:val="1"/>
  </w:num>
  <w:num w:numId="13">
    <w:abstractNumId w:val="11"/>
  </w:num>
  <w:num w:numId="14">
    <w:abstractNumId w:val="17"/>
  </w:num>
  <w:num w:numId="15">
    <w:abstractNumId w:val="6"/>
  </w:num>
  <w:num w:numId="16">
    <w:abstractNumId w:val="9"/>
  </w:num>
  <w:num w:numId="17">
    <w:abstractNumId w:val="1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24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4F"/>
    <w:rsid w:val="00027E7A"/>
    <w:rsid w:val="00070FBA"/>
    <w:rsid w:val="000C06ED"/>
    <w:rsid w:val="000F5BE6"/>
    <w:rsid w:val="00111190"/>
    <w:rsid w:val="001513B9"/>
    <w:rsid w:val="0015544F"/>
    <w:rsid w:val="00185D4C"/>
    <w:rsid w:val="00197CE0"/>
    <w:rsid w:val="001B04DD"/>
    <w:rsid w:val="001C63A9"/>
    <w:rsid w:val="0020332B"/>
    <w:rsid w:val="00233D90"/>
    <w:rsid w:val="002368C6"/>
    <w:rsid w:val="0025602E"/>
    <w:rsid w:val="002643B8"/>
    <w:rsid w:val="002D30B8"/>
    <w:rsid w:val="002E59DD"/>
    <w:rsid w:val="002F6D38"/>
    <w:rsid w:val="003050C8"/>
    <w:rsid w:val="00311DBB"/>
    <w:rsid w:val="003175A0"/>
    <w:rsid w:val="00343F34"/>
    <w:rsid w:val="00347013"/>
    <w:rsid w:val="00357FEB"/>
    <w:rsid w:val="00363DD4"/>
    <w:rsid w:val="00381A31"/>
    <w:rsid w:val="003849B4"/>
    <w:rsid w:val="0038500E"/>
    <w:rsid w:val="003931AA"/>
    <w:rsid w:val="003A1D4E"/>
    <w:rsid w:val="003B00B1"/>
    <w:rsid w:val="003F7A97"/>
    <w:rsid w:val="0040152C"/>
    <w:rsid w:val="004175A4"/>
    <w:rsid w:val="004334BA"/>
    <w:rsid w:val="00457C8C"/>
    <w:rsid w:val="00476213"/>
    <w:rsid w:val="004858E4"/>
    <w:rsid w:val="00494B97"/>
    <w:rsid w:val="004B6B39"/>
    <w:rsid w:val="004C5948"/>
    <w:rsid w:val="004D0310"/>
    <w:rsid w:val="004F36DF"/>
    <w:rsid w:val="004F680B"/>
    <w:rsid w:val="005050A5"/>
    <w:rsid w:val="005405B9"/>
    <w:rsid w:val="00543AC7"/>
    <w:rsid w:val="00585AF3"/>
    <w:rsid w:val="00585DCE"/>
    <w:rsid w:val="005B437D"/>
    <w:rsid w:val="006046DB"/>
    <w:rsid w:val="006063FB"/>
    <w:rsid w:val="00612FB8"/>
    <w:rsid w:val="00640412"/>
    <w:rsid w:val="006568F4"/>
    <w:rsid w:val="00666C04"/>
    <w:rsid w:val="00686C80"/>
    <w:rsid w:val="00690E1F"/>
    <w:rsid w:val="006C0415"/>
    <w:rsid w:val="006F3689"/>
    <w:rsid w:val="006F49DB"/>
    <w:rsid w:val="0073462B"/>
    <w:rsid w:val="00760D0F"/>
    <w:rsid w:val="00795C5E"/>
    <w:rsid w:val="00795D25"/>
    <w:rsid w:val="00806FBC"/>
    <w:rsid w:val="00847C2D"/>
    <w:rsid w:val="00855578"/>
    <w:rsid w:val="0085782D"/>
    <w:rsid w:val="00861943"/>
    <w:rsid w:val="00877C1C"/>
    <w:rsid w:val="00881079"/>
    <w:rsid w:val="008973F5"/>
    <w:rsid w:val="008A586E"/>
    <w:rsid w:val="00924023"/>
    <w:rsid w:val="009403ED"/>
    <w:rsid w:val="00950E0D"/>
    <w:rsid w:val="009710E0"/>
    <w:rsid w:val="009953BF"/>
    <w:rsid w:val="009C079C"/>
    <w:rsid w:val="009F6DFA"/>
    <w:rsid w:val="00A0181E"/>
    <w:rsid w:val="00A37141"/>
    <w:rsid w:val="00A51BA6"/>
    <w:rsid w:val="00A54DC2"/>
    <w:rsid w:val="00A55E52"/>
    <w:rsid w:val="00A65A57"/>
    <w:rsid w:val="00A77CE6"/>
    <w:rsid w:val="00A81B75"/>
    <w:rsid w:val="00A92420"/>
    <w:rsid w:val="00AA432A"/>
    <w:rsid w:val="00AA70B4"/>
    <w:rsid w:val="00B2359A"/>
    <w:rsid w:val="00B34925"/>
    <w:rsid w:val="00B5407A"/>
    <w:rsid w:val="00B559EA"/>
    <w:rsid w:val="00B66B2F"/>
    <w:rsid w:val="00BB6BE5"/>
    <w:rsid w:val="00BD633B"/>
    <w:rsid w:val="00BD6BBE"/>
    <w:rsid w:val="00BE3288"/>
    <w:rsid w:val="00BE7C53"/>
    <w:rsid w:val="00BF432B"/>
    <w:rsid w:val="00C23CF9"/>
    <w:rsid w:val="00C3362B"/>
    <w:rsid w:val="00C3375C"/>
    <w:rsid w:val="00C54993"/>
    <w:rsid w:val="00C61C4F"/>
    <w:rsid w:val="00C72DCB"/>
    <w:rsid w:val="00C90ABC"/>
    <w:rsid w:val="00D14FC6"/>
    <w:rsid w:val="00D211C2"/>
    <w:rsid w:val="00D4532D"/>
    <w:rsid w:val="00DA3E07"/>
    <w:rsid w:val="00DD281E"/>
    <w:rsid w:val="00DE4516"/>
    <w:rsid w:val="00E3613E"/>
    <w:rsid w:val="00E41770"/>
    <w:rsid w:val="00E508F3"/>
    <w:rsid w:val="00E53B92"/>
    <w:rsid w:val="00E60195"/>
    <w:rsid w:val="00E95191"/>
    <w:rsid w:val="00ED75A7"/>
    <w:rsid w:val="00F33402"/>
    <w:rsid w:val="00F564D7"/>
    <w:rsid w:val="00F6312C"/>
    <w:rsid w:val="00F7197A"/>
    <w:rsid w:val="00F7588B"/>
    <w:rsid w:val="00FA2F75"/>
    <w:rsid w:val="00FB11F8"/>
    <w:rsid w:val="00FE5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7C2F96-EDAF-4FC2-BCD1-7D0F3DED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48"/>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1C4F"/>
    <w:rPr>
      <w:rFonts w:eastAsia="Arial"/>
      <w:lang w:val="en-GB" w:eastAsia="en-GB" w:bidi="en-GB"/>
    </w:rPr>
  </w:style>
  <w:style w:type="paragraph" w:styleId="Heading1">
    <w:name w:val="heading 1"/>
    <w:basedOn w:val="Normal"/>
    <w:uiPriority w:val="1"/>
    <w:qFormat/>
    <w:rsid w:val="00C61C4F"/>
    <w:pPr>
      <w:ind w:left="220"/>
      <w:outlineLvl w:val="0"/>
    </w:pPr>
    <w:rPr>
      <w:rFonts w:ascii="Trebuchet MS" w:eastAsia="Trebuchet MS" w:hAnsi="Trebuchet MS" w:cs="Trebuchet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1C4F"/>
    <w:rPr>
      <w:sz w:val="24"/>
    </w:rPr>
  </w:style>
  <w:style w:type="paragraph" w:styleId="ListParagraph">
    <w:name w:val="List Paragraph"/>
    <w:basedOn w:val="Normal"/>
    <w:uiPriority w:val="1"/>
    <w:qFormat/>
    <w:rsid w:val="00C61C4F"/>
  </w:style>
  <w:style w:type="paragraph" w:customStyle="1" w:styleId="TableParagraph">
    <w:name w:val="Table Paragraph"/>
    <w:basedOn w:val="Normal"/>
    <w:uiPriority w:val="1"/>
    <w:qFormat/>
    <w:rsid w:val="00C61C4F"/>
  </w:style>
  <w:style w:type="paragraph" w:styleId="BalloonText">
    <w:name w:val="Balloon Text"/>
    <w:basedOn w:val="Normal"/>
    <w:link w:val="BalloonTextChar"/>
    <w:uiPriority w:val="99"/>
    <w:semiHidden/>
    <w:unhideWhenUsed/>
    <w:rsid w:val="00C90ABC"/>
    <w:rPr>
      <w:rFonts w:ascii="Tahoma" w:hAnsi="Tahoma" w:cs="Tahoma"/>
      <w:sz w:val="16"/>
      <w:szCs w:val="16"/>
    </w:rPr>
  </w:style>
  <w:style w:type="character" w:customStyle="1" w:styleId="BalloonTextChar">
    <w:name w:val="Balloon Text Char"/>
    <w:basedOn w:val="DefaultParagraphFont"/>
    <w:link w:val="BalloonText"/>
    <w:uiPriority w:val="99"/>
    <w:semiHidden/>
    <w:rsid w:val="00C90ABC"/>
    <w:rPr>
      <w:rFonts w:ascii="Tahoma" w:eastAsia="Arial" w:hAnsi="Tahoma" w:cs="Tahoma"/>
      <w:sz w:val="16"/>
      <w:szCs w:val="16"/>
      <w:lang w:val="en-GB" w:eastAsia="en-GB" w:bidi="en-GB"/>
    </w:rPr>
  </w:style>
  <w:style w:type="table" w:styleId="TableGrid">
    <w:name w:val="Table Grid"/>
    <w:basedOn w:val="TableNormal"/>
    <w:uiPriority w:val="59"/>
    <w:rsid w:val="003F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F7A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3F7A9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C72DCB"/>
    <w:rPr>
      <w:color w:val="0000FF" w:themeColor="hyperlink"/>
      <w:u w:val="single"/>
    </w:rPr>
  </w:style>
  <w:style w:type="paragraph" w:styleId="Header">
    <w:name w:val="header"/>
    <w:basedOn w:val="Normal"/>
    <w:link w:val="HeaderChar"/>
    <w:uiPriority w:val="99"/>
    <w:unhideWhenUsed/>
    <w:rsid w:val="00E95191"/>
    <w:pPr>
      <w:tabs>
        <w:tab w:val="center" w:pos="4513"/>
        <w:tab w:val="right" w:pos="9026"/>
      </w:tabs>
    </w:pPr>
  </w:style>
  <w:style w:type="character" w:customStyle="1" w:styleId="HeaderChar">
    <w:name w:val="Header Char"/>
    <w:basedOn w:val="DefaultParagraphFont"/>
    <w:link w:val="Header"/>
    <w:uiPriority w:val="99"/>
    <w:rsid w:val="00E95191"/>
    <w:rPr>
      <w:rFonts w:ascii="Arial" w:eastAsia="Arial" w:hAnsi="Arial" w:cs="Arial"/>
      <w:lang w:val="en-GB" w:eastAsia="en-GB" w:bidi="en-GB"/>
    </w:rPr>
  </w:style>
  <w:style w:type="paragraph" w:styleId="Footer">
    <w:name w:val="footer"/>
    <w:basedOn w:val="Normal"/>
    <w:link w:val="FooterChar"/>
    <w:uiPriority w:val="99"/>
    <w:unhideWhenUsed/>
    <w:rsid w:val="00E95191"/>
    <w:pPr>
      <w:tabs>
        <w:tab w:val="center" w:pos="4513"/>
        <w:tab w:val="right" w:pos="9026"/>
      </w:tabs>
    </w:pPr>
  </w:style>
  <w:style w:type="character" w:customStyle="1" w:styleId="FooterChar">
    <w:name w:val="Footer Char"/>
    <w:basedOn w:val="DefaultParagraphFont"/>
    <w:link w:val="Footer"/>
    <w:uiPriority w:val="99"/>
    <w:rsid w:val="00E95191"/>
    <w:rPr>
      <w:rFonts w:ascii="Arial" w:eastAsia="Arial" w:hAnsi="Arial" w:cs="Arial"/>
      <w:lang w:val="en-GB" w:eastAsia="en-GB" w:bidi="en-GB"/>
    </w:rPr>
  </w:style>
  <w:style w:type="paragraph" w:customStyle="1" w:styleId="nhsbase">
    <w:name w:val="nhs_base"/>
    <w:basedOn w:val="Normal"/>
    <w:uiPriority w:val="99"/>
    <w:rsid w:val="00C54993"/>
    <w:pPr>
      <w:widowControl/>
      <w:autoSpaceDE/>
      <w:autoSpaceDN/>
    </w:pPr>
    <w:rPr>
      <w:rFonts w:ascii="Times New Roman" w:eastAsia="Times New Roman" w:hAnsi="Times New Roman" w:cs="Times New Roman"/>
      <w:kern w:val="16"/>
      <w:sz w:val="24"/>
      <w:szCs w:val="20"/>
      <w:lang w:bidi="ar-SA"/>
    </w:rPr>
  </w:style>
  <w:style w:type="paragraph" w:styleId="FootnoteText">
    <w:name w:val="footnote text"/>
    <w:basedOn w:val="Normal"/>
    <w:link w:val="FootnoteTextChar"/>
    <w:uiPriority w:val="99"/>
    <w:semiHidden/>
    <w:unhideWhenUsed/>
    <w:rsid w:val="00690E1F"/>
    <w:rPr>
      <w:sz w:val="20"/>
      <w:szCs w:val="20"/>
    </w:rPr>
  </w:style>
  <w:style w:type="character" w:customStyle="1" w:styleId="FootnoteTextChar">
    <w:name w:val="Footnote Text Char"/>
    <w:basedOn w:val="DefaultParagraphFont"/>
    <w:link w:val="FootnoteText"/>
    <w:uiPriority w:val="99"/>
    <w:semiHidden/>
    <w:rsid w:val="00690E1F"/>
    <w:rPr>
      <w:rFonts w:eastAsia="Arial"/>
      <w:sz w:val="20"/>
      <w:szCs w:val="20"/>
      <w:lang w:val="en-GB" w:eastAsia="en-GB" w:bidi="en-GB"/>
    </w:rPr>
  </w:style>
  <w:style w:type="character" w:styleId="FootnoteReference">
    <w:name w:val="footnote reference"/>
    <w:basedOn w:val="DefaultParagraphFont"/>
    <w:uiPriority w:val="99"/>
    <w:semiHidden/>
    <w:unhideWhenUsed/>
    <w:rsid w:val="00690E1F"/>
    <w:rPr>
      <w:vertAlign w:val="superscript"/>
    </w:rPr>
  </w:style>
  <w:style w:type="character" w:styleId="FollowedHyperlink">
    <w:name w:val="FollowedHyperlink"/>
    <w:basedOn w:val="DefaultParagraphFont"/>
    <w:uiPriority w:val="99"/>
    <w:semiHidden/>
    <w:unhideWhenUsed/>
    <w:rsid w:val="00027E7A"/>
    <w:rPr>
      <w:color w:val="800080" w:themeColor="followedHyperlink"/>
      <w:u w:val="single"/>
    </w:rPr>
  </w:style>
  <w:style w:type="paragraph" w:styleId="NormalWeb">
    <w:name w:val="Normal (Web)"/>
    <w:basedOn w:val="Normal"/>
    <w:uiPriority w:val="99"/>
    <w:semiHidden/>
    <w:unhideWhenUsed/>
    <w:rsid w:val="005050A5"/>
    <w:pPr>
      <w:widowControl/>
      <w:autoSpaceDE/>
      <w:autoSpaceDN/>
      <w:spacing w:before="100" w:beforeAutospacing="1" w:after="100" w:afterAutospacing="1"/>
    </w:pPr>
    <w:rPr>
      <w:rFonts w:ascii="Times New Roman" w:eastAsia="Times New Roman" w:hAnsi="Times New Roman" w:cs="Times New Roman"/>
      <w:sz w:val="24"/>
      <w:lang w:bidi="ar-SA"/>
    </w:rPr>
  </w:style>
  <w:style w:type="paragraph" w:customStyle="1" w:styleId="xxelementtoproof">
    <w:name w:val="x_x_elementtoproof"/>
    <w:basedOn w:val="Normal"/>
    <w:rsid w:val="005050A5"/>
    <w:pPr>
      <w:widowControl/>
      <w:autoSpaceDE/>
      <w:autoSpaceDN/>
      <w:spacing w:before="100" w:beforeAutospacing="1" w:after="100" w:afterAutospacing="1"/>
    </w:pPr>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20544">
      <w:bodyDiv w:val="1"/>
      <w:marLeft w:val="0"/>
      <w:marRight w:val="0"/>
      <w:marTop w:val="0"/>
      <w:marBottom w:val="0"/>
      <w:divBdr>
        <w:top w:val="none" w:sz="0" w:space="0" w:color="auto"/>
        <w:left w:val="none" w:sz="0" w:space="0" w:color="auto"/>
        <w:bottom w:val="none" w:sz="0" w:space="0" w:color="auto"/>
        <w:right w:val="none" w:sz="0" w:space="0" w:color="auto"/>
      </w:divBdr>
    </w:div>
    <w:div w:id="501817145">
      <w:bodyDiv w:val="1"/>
      <w:marLeft w:val="0"/>
      <w:marRight w:val="0"/>
      <w:marTop w:val="0"/>
      <w:marBottom w:val="0"/>
      <w:divBdr>
        <w:top w:val="none" w:sz="0" w:space="0" w:color="auto"/>
        <w:left w:val="none" w:sz="0" w:space="0" w:color="auto"/>
        <w:bottom w:val="none" w:sz="0" w:space="0" w:color="auto"/>
        <w:right w:val="none" w:sz="0" w:space="0" w:color="auto"/>
      </w:divBdr>
    </w:div>
    <w:div w:id="1006328713">
      <w:bodyDiv w:val="1"/>
      <w:marLeft w:val="0"/>
      <w:marRight w:val="0"/>
      <w:marTop w:val="0"/>
      <w:marBottom w:val="0"/>
      <w:divBdr>
        <w:top w:val="none" w:sz="0" w:space="0" w:color="auto"/>
        <w:left w:val="none" w:sz="0" w:space="0" w:color="auto"/>
        <w:bottom w:val="none" w:sz="0" w:space="0" w:color="auto"/>
        <w:right w:val="none" w:sz="0" w:space="0" w:color="auto"/>
      </w:divBdr>
      <w:divsChild>
        <w:div w:id="1039935600">
          <w:marLeft w:val="0"/>
          <w:marRight w:val="0"/>
          <w:marTop w:val="0"/>
          <w:marBottom w:val="0"/>
          <w:divBdr>
            <w:top w:val="none" w:sz="0" w:space="0" w:color="auto"/>
            <w:left w:val="none" w:sz="0" w:space="0" w:color="auto"/>
            <w:bottom w:val="none" w:sz="0" w:space="0" w:color="auto"/>
            <w:right w:val="none" w:sz="0" w:space="0" w:color="auto"/>
          </w:divBdr>
        </w:div>
      </w:divsChild>
    </w:div>
    <w:div w:id="202462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ontiersharpsafe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f.org.uk/new-good-practice-guidance-on-the-provision-of-injecting-equipment-publish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lan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EED3-5481-4819-A32B-4361F3BB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ashaw</dc:creator>
  <cp:lastModifiedBy>Carey, Margaret</cp:lastModifiedBy>
  <cp:revision>3</cp:revision>
  <dcterms:created xsi:type="dcterms:W3CDTF">2024-06-14T09:46:00Z</dcterms:created>
  <dcterms:modified xsi:type="dcterms:W3CDTF">2024-06-25T09:42:00Z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Office Word 2007</vt:lpwstr>
  </property>
  <property fmtid="{D5CDD505-2E9C-101B-9397-08002B2CF9AE}" pid="4" name="LastSaved">
    <vt:filetime>2019-03-18T00:00:00Z</vt:filetime>
  </property>
</Properties>
</file>