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5CE4E" w14:textId="77777777" w:rsidR="00DE5731" w:rsidRPr="00AE5F6B" w:rsidRDefault="00DE5731" w:rsidP="00F01150">
      <w:pPr>
        <w:spacing w:after="0" w:line="240" w:lineRule="auto"/>
        <w:ind w:left="11" w:hanging="11"/>
        <w:jc w:val="center"/>
        <w:rPr>
          <w:rFonts w:eastAsia="Calibri" w:cstheme="minorHAnsi"/>
          <w:color w:val="000000"/>
          <w:lang w:eastAsia="en-GB"/>
        </w:rPr>
      </w:pPr>
    </w:p>
    <w:p w14:paraId="2D8BBBA9" w14:textId="61AFDAE6" w:rsidR="00DE5731" w:rsidRPr="007D010F" w:rsidRDefault="00DE5731" w:rsidP="007D010F">
      <w:pPr>
        <w:spacing w:after="0" w:line="240" w:lineRule="auto"/>
        <w:ind w:left="11" w:hanging="11"/>
        <w:jc w:val="center"/>
        <w:rPr>
          <w:rFonts w:ascii="Arial" w:eastAsia="Calibri" w:hAnsi="Arial" w:cs="Arial"/>
          <w:b/>
          <w:color w:val="000000"/>
          <w:sz w:val="24"/>
          <w:szCs w:val="24"/>
          <w:lang w:eastAsia="en-GB"/>
        </w:rPr>
      </w:pPr>
      <w:r w:rsidRPr="007D010F">
        <w:rPr>
          <w:rFonts w:ascii="Arial" w:eastAsia="Arial" w:hAnsi="Arial" w:cs="Arial"/>
          <w:b/>
          <w:color w:val="000000"/>
          <w:sz w:val="24"/>
          <w:szCs w:val="24"/>
          <w:lang w:eastAsia="en-GB"/>
        </w:rPr>
        <w:t>NHS GRAMPIAN</w:t>
      </w:r>
    </w:p>
    <w:p w14:paraId="64AB0F0B" w14:textId="77777777" w:rsidR="00DE5731" w:rsidRPr="007D010F" w:rsidRDefault="00DE5731" w:rsidP="007D010F">
      <w:pPr>
        <w:spacing w:after="0" w:line="240" w:lineRule="auto"/>
        <w:ind w:left="11" w:hanging="11"/>
        <w:jc w:val="center"/>
        <w:rPr>
          <w:rFonts w:ascii="Arial" w:eastAsia="Arial" w:hAnsi="Arial" w:cs="Arial"/>
          <w:b/>
          <w:color w:val="000000"/>
          <w:sz w:val="24"/>
          <w:szCs w:val="24"/>
          <w:lang w:eastAsia="en-GB"/>
        </w:rPr>
      </w:pPr>
      <w:r w:rsidRPr="007D010F">
        <w:rPr>
          <w:rFonts w:ascii="Arial" w:eastAsia="Arial" w:hAnsi="Arial" w:cs="Arial"/>
          <w:b/>
          <w:color w:val="000000"/>
          <w:sz w:val="24"/>
          <w:szCs w:val="24"/>
          <w:lang w:eastAsia="en-GB"/>
        </w:rPr>
        <w:t>SERVICE LEVEL AGREEMENT</w:t>
      </w:r>
    </w:p>
    <w:p w14:paraId="232BC34F" w14:textId="77777777" w:rsidR="00F01150" w:rsidRPr="007D010F" w:rsidRDefault="00F01150" w:rsidP="007D010F">
      <w:pPr>
        <w:spacing w:after="0" w:line="240" w:lineRule="auto"/>
        <w:ind w:left="11" w:hanging="11"/>
        <w:jc w:val="center"/>
        <w:rPr>
          <w:rFonts w:ascii="Arial" w:eastAsia="Calibri" w:hAnsi="Arial" w:cs="Arial"/>
          <w:b/>
          <w:color w:val="000000"/>
          <w:sz w:val="24"/>
          <w:szCs w:val="24"/>
          <w:lang w:eastAsia="en-GB"/>
        </w:rPr>
      </w:pPr>
    </w:p>
    <w:p w14:paraId="0F519AFB" w14:textId="3654A7C8" w:rsidR="00847742" w:rsidRPr="007D010F" w:rsidRDefault="00847742" w:rsidP="007D010F">
      <w:pPr>
        <w:spacing w:after="0" w:line="240" w:lineRule="auto"/>
        <w:jc w:val="center"/>
        <w:textAlignment w:val="baseline"/>
        <w:rPr>
          <w:rFonts w:ascii="Segoe UI" w:eastAsia="Times New Roman" w:hAnsi="Segoe UI" w:cs="Segoe UI"/>
          <w:b/>
          <w:sz w:val="18"/>
          <w:szCs w:val="18"/>
          <w:lang w:eastAsia="en-GB"/>
        </w:rPr>
      </w:pPr>
      <w:r w:rsidRPr="007D010F">
        <w:rPr>
          <w:rFonts w:ascii="Arial" w:eastAsia="Times New Roman" w:hAnsi="Arial" w:cs="Arial"/>
          <w:b/>
          <w:bCs/>
          <w:color w:val="000000"/>
          <w:sz w:val="24"/>
          <w:szCs w:val="24"/>
          <w:lang w:eastAsia="en-GB"/>
        </w:rPr>
        <w:t>Naloxone – Training and Supply</w:t>
      </w:r>
    </w:p>
    <w:p w14:paraId="48B355C4" w14:textId="77777777" w:rsidR="00847742" w:rsidRPr="003C59C5" w:rsidRDefault="00847742" w:rsidP="00847742">
      <w:pPr>
        <w:spacing w:after="0" w:line="240" w:lineRule="auto"/>
        <w:jc w:val="both"/>
        <w:textAlignment w:val="baseline"/>
        <w:rPr>
          <w:rFonts w:ascii="Segoe UI" w:eastAsia="Times New Roman" w:hAnsi="Segoe UI" w:cs="Segoe UI"/>
          <w:sz w:val="18"/>
          <w:szCs w:val="18"/>
          <w:lang w:eastAsia="en-GB"/>
        </w:rPr>
      </w:pPr>
      <w:r w:rsidRPr="003C59C5">
        <w:rPr>
          <w:rFonts w:ascii="Arial" w:eastAsia="Times New Roman" w:hAnsi="Arial" w:cs="Arial"/>
          <w:color w:val="000000"/>
          <w:sz w:val="24"/>
          <w:szCs w:val="24"/>
          <w:lang w:eastAsia="en-GB"/>
        </w:rPr>
        <w:t> </w:t>
      </w:r>
    </w:p>
    <w:p w14:paraId="22EE1E17" w14:textId="77777777" w:rsidR="00847742" w:rsidRPr="003C59C5" w:rsidRDefault="00847742" w:rsidP="00847742">
      <w:pPr>
        <w:spacing w:after="0" w:line="240" w:lineRule="auto"/>
        <w:jc w:val="both"/>
        <w:textAlignment w:val="baseline"/>
        <w:rPr>
          <w:rFonts w:ascii="Segoe UI" w:eastAsia="Times New Roman" w:hAnsi="Segoe UI" w:cs="Segoe UI"/>
          <w:sz w:val="18"/>
          <w:szCs w:val="18"/>
          <w:lang w:eastAsia="en-GB"/>
        </w:rPr>
      </w:pPr>
      <w:r w:rsidRPr="003C59C5">
        <w:rPr>
          <w:rFonts w:ascii="Arial" w:eastAsia="Times New Roman" w:hAnsi="Arial" w:cs="Arial"/>
          <w:color w:val="000000"/>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035"/>
      </w:tblGrid>
      <w:tr w:rsidR="00847742" w:rsidRPr="003C59C5" w14:paraId="25FF6CC1" w14:textId="77777777" w:rsidTr="007D010F">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0522B0" w14:textId="77777777" w:rsidR="00847742" w:rsidRPr="003C59C5" w:rsidRDefault="00847742" w:rsidP="007D010F">
            <w:pPr>
              <w:spacing w:after="0" w:line="240" w:lineRule="auto"/>
              <w:textAlignment w:val="baseline"/>
              <w:rPr>
                <w:rFonts w:ascii="Times New Roman" w:eastAsia="Times New Roman" w:hAnsi="Times New Roman" w:cs="Times New Roman"/>
                <w:sz w:val="24"/>
                <w:szCs w:val="24"/>
                <w:lang w:eastAsia="en-GB"/>
              </w:rPr>
            </w:pPr>
            <w:r w:rsidRPr="003C59C5">
              <w:rPr>
                <w:rFonts w:ascii="Arial" w:eastAsia="Times New Roman" w:hAnsi="Arial" w:cs="Arial"/>
                <w:b/>
                <w:bCs/>
                <w:color w:val="000000"/>
                <w:sz w:val="24"/>
                <w:szCs w:val="24"/>
                <w:lang w:eastAsia="en-GB"/>
              </w:rPr>
              <w:t>SLA Reference</w:t>
            </w:r>
            <w:r w:rsidRPr="003C59C5">
              <w:rPr>
                <w:rFonts w:ascii="Arial" w:eastAsia="Times New Roman" w:hAnsi="Arial" w:cs="Arial"/>
                <w:color w:val="000000"/>
                <w:sz w:val="24"/>
                <w:szCs w:val="24"/>
                <w:lang w:eastAsia="en-GB"/>
              </w:rPr>
              <w:t> </w:t>
            </w:r>
          </w:p>
        </w:tc>
        <w:tc>
          <w:tcPr>
            <w:tcW w:w="7035" w:type="dxa"/>
            <w:tcBorders>
              <w:top w:val="single" w:sz="6" w:space="0" w:color="auto"/>
              <w:left w:val="nil"/>
              <w:bottom w:val="single" w:sz="6" w:space="0" w:color="auto"/>
              <w:right w:val="single" w:sz="6" w:space="0" w:color="auto"/>
            </w:tcBorders>
            <w:shd w:val="clear" w:color="auto" w:fill="auto"/>
            <w:vAlign w:val="center"/>
            <w:hideMark/>
          </w:tcPr>
          <w:p w14:paraId="7410749A" w14:textId="1EFE45A7" w:rsidR="00847742" w:rsidRPr="007D010F" w:rsidRDefault="00847742" w:rsidP="007D010F">
            <w:pPr>
              <w:pStyle w:val="NoSpacing"/>
              <w:rPr>
                <w:rFonts w:ascii="Arial" w:hAnsi="Arial" w:cs="Arial"/>
                <w:sz w:val="24"/>
                <w:lang w:eastAsia="en-GB"/>
              </w:rPr>
            </w:pPr>
            <w:proofErr w:type="spellStart"/>
            <w:r w:rsidRPr="007D010F">
              <w:rPr>
                <w:rFonts w:ascii="Arial" w:hAnsi="Arial" w:cs="Arial"/>
                <w:sz w:val="24"/>
                <w:lang w:eastAsia="en-GB"/>
              </w:rPr>
              <w:t>SLA_Naloxone</w:t>
            </w:r>
            <w:proofErr w:type="spellEnd"/>
            <w:r w:rsidRPr="007D010F">
              <w:rPr>
                <w:rFonts w:ascii="Arial" w:hAnsi="Arial" w:cs="Arial"/>
                <w:sz w:val="24"/>
                <w:lang w:eastAsia="en-GB"/>
              </w:rPr>
              <w:t xml:space="preserve"> Training and Supply</w:t>
            </w:r>
          </w:p>
          <w:p w14:paraId="365640C4" w14:textId="77777777" w:rsidR="00847742" w:rsidRPr="007D010F" w:rsidRDefault="00847742" w:rsidP="007D010F">
            <w:pPr>
              <w:pStyle w:val="NoSpacing"/>
              <w:rPr>
                <w:rFonts w:ascii="Arial" w:hAnsi="Arial" w:cs="Arial"/>
                <w:sz w:val="24"/>
                <w:lang w:eastAsia="en-GB"/>
              </w:rPr>
            </w:pPr>
          </w:p>
        </w:tc>
      </w:tr>
      <w:tr w:rsidR="00847742" w:rsidRPr="003C59C5" w14:paraId="5F6F9529" w14:textId="77777777" w:rsidTr="007D010F">
        <w:tc>
          <w:tcPr>
            <w:tcW w:w="1965" w:type="dxa"/>
            <w:tcBorders>
              <w:top w:val="nil"/>
              <w:left w:val="single" w:sz="6" w:space="0" w:color="auto"/>
              <w:bottom w:val="single" w:sz="6" w:space="0" w:color="auto"/>
              <w:right w:val="single" w:sz="6" w:space="0" w:color="auto"/>
            </w:tcBorders>
            <w:shd w:val="clear" w:color="auto" w:fill="auto"/>
            <w:vAlign w:val="center"/>
            <w:hideMark/>
          </w:tcPr>
          <w:p w14:paraId="52FC01E0" w14:textId="77777777" w:rsidR="00847742" w:rsidRPr="003C59C5" w:rsidRDefault="00847742" w:rsidP="007D010F">
            <w:pPr>
              <w:spacing w:after="0" w:line="240" w:lineRule="auto"/>
              <w:textAlignment w:val="baseline"/>
              <w:rPr>
                <w:rFonts w:ascii="Times New Roman" w:eastAsia="Times New Roman" w:hAnsi="Times New Roman" w:cs="Times New Roman"/>
                <w:sz w:val="24"/>
                <w:szCs w:val="24"/>
                <w:lang w:eastAsia="en-GB"/>
              </w:rPr>
            </w:pPr>
            <w:r w:rsidRPr="003C59C5">
              <w:rPr>
                <w:rFonts w:ascii="Arial" w:eastAsia="Times New Roman" w:hAnsi="Arial" w:cs="Arial"/>
                <w:b/>
                <w:bCs/>
                <w:color w:val="000000"/>
                <w:sz w:val="24"/>
                <w:szCs w:val="24"/>
                <w:lang w:eastAsia="en-GB"/>
              </w:rPr>
              <w:t>Version</w:t>
            </w:r>
            <w:r w:rsidRPr="003C59C5">
              <w:rPr>
                <w:rFonts w:ascii="Arial" w:eastAsia="Times New Roman" w:hAnsi="Arial" w:cs="Arial"/>
                <w:color w:val="000000"/>
                <w:sz w:val="24"/>
                <w:szCs w:val="24"/>
                <w:lang w:eastAsia="en-GB"/>
              </w:rPr>
              <w:t> </w:t>
            </w:r>
          </w:p>
        </w:tc>
        <w:tc>
          <w:tcPr>
            <w:tcW w:w="7035" w:type="dxa"/>
            <w:tcBorders>
              <w:top w:val="nil"/>
              <w:left w:val="nil"/>
              <w:bottom w:val="single" w:sz="6" w:space="0" w:color="auto"/>
              <w:right w:val="single" w:sz="6" w:space="0" w:color="auto"/>
            </w:tcBorders>
            <w:shd w:val="clear" w:color="auto" w:fill="auto"/>
            <w:vAlign w:val="center"/>
            <w:hideMark/>
          </w:tcPr>
          <w:p w14:paraId="28E0DF72" w14:textId="5D9FDF8A" w:rsidR="00847742" w:rsidRPr="007D010F" w:rsidRDefault="005864AA" w:rsidP="007D010F">
            <w:pPr>
              <w:pStyle w:val="NoSpacing"/>
              <w:rPr>
                <w:rFonts w:ascii="Arial" w:hAnsi="Arial" w:cs="Arial"/>
                <w:sz w:val="24"/>
                <w:lang w:eastAsia="en-GB"/>
              </w:rPr>
            </w:pPr>
            <w:r>
              <w:rPr>
                <w:rFonts w:ascii="Arial" w:hAnsi="Arial" w:cs="Arial"/>
                <w:sz w:val="24"/>
                <w:lang w:eastAsia="en-GB"/>
              </w:rPr>
              <w:t>4</w:t>
            </w:r>
          </w:p>
          <w:p w14:paraId="55E8CF8F" w14:textId="77777777" w:rsidR="00847742" w:rsidRPr="007D010F" w:rsidRDefault="00847742" w:rsidP="007D010F">
            <w:pPr>
              <w:pStyle w:val="NoSpacing"/>
              <w:rPr>
                <w:rFonts w:ascii="Arial" w:hAnsi="Arial" w:cs="Arial"/>
                <w:sz w:val="24"/>
                <w:lang w:eastAsia="en-GB"/>
              </w:rPr>
            </w:pPr>
          </w:p>
        </w:tc>
      </w:tr>
      <w:tr w:rsidR="00847742" w:rsidRPr="003C59C5" w14:paraId="3026F580" w14:textId="77777777" w:rsidTr="007D010F">
        <w:tc>
          <w:tcPr>
            <w:tcW w:w="1965" w:type="dxa"/>
            <w:tcBorders>
              <w:top w:val="nil"/>
              <w:left w:val="single" w:sz="6" w:space="0" w:color="auto"/>
              <w:bottom w:val="single" w:sz="6" w:space="0" w:color="auto"/>
              <w:right w:val="single" w:sz="6" w:space="0" w:color="auto"/>
            </w:tcBorders>
            <w:shd w:val="clear" w:color="auto" w:fill="auto"/>
            <w:vAlign w:val="center"/>
            <w:hideMark/>
          </w:tcPr>
          <w:p w14:paraId="56BA3B88" w14:textId="77777777" w:rsidR="00847742" w:rsidRPr="003C59C5" w:rsidRDefault="00847742" w:rsidP="007D010F">
            <w:pPr>
              <w:spacing w:after="0" w:line="240" w:lineRule="auto"/>
              <w:textAlignment w:val="baseline"/>
              <w:rPr>
                <w:rFonts w:ascii="Times New Roman" w:eastAsia="Times New Roman" w:hAnsi="Times New Roman" w:cs="Times New Roman"/>
                <w:sz w:val="24"/>
                <w:szCs w:val="24"/>
                <w:lang w:eastAsia="en-GB"/>
              </w:rPr>
            </w:pPr>
            <w:r w:rsidRPr="003C59C5">
              <w:rPr>
                <w:rFonts w:ascii="Arial" w:eastAsia="Times New Roman" w:hAnsi="Arial" w:cs="Arial"/>
                <w:b/>
                <w:bCs/>
                <w:color w:val="000000"/>
                <w:sz w:val="24"/>
                <w:szCs w:val="24"/>
                <w:lang w:eastAsia="en-GB"/>
              </w:rPr>
              <w:t>Review date</w:t>
            </w:r>
            <w:r w:rsidRPr="003C59C5">
              <w:rPr>
                <w:rFonts w:ascii="Arial" w:eastAsia="Times New Roman" w:hAnsi="Arial" w:cs="Arial"/>
                <w:color w:val="000000"/>
                <w:sz w:val="24"/>
                <w:szCs w:val="24"/>
                <w:lang w:eastAsia="en-GB"/>
              </w:rPr>
              <w:t> </w:t>
            </w:r>
          </w:p>
        </w:tc>
        <w:tc>
          <w:tcPr>
            <w:tcW w:w="7035" w:type="dxa"/>
            <w:tcBorders>
              <w:top w:val="nil"/>
              <w:left w:val="nil"/>
              <w:bottom w:val="single" w:sz="6" w:space="0" w:color="auto"/>
              <w:right w:val="single" w:sz="6" w:space="0" w:color="auto"/>
            </w:tcBorders>
            <w:shd w:val="clear" w:color="auto" w:fill="auto"/>
            <w:vAlign w:val="center"/>
            <w:hideMark/>
          </w:tcPr>
          <w:p w14:paraId="418AB0FD" w14:textId="5B87C4A5" w:rsidR="00847742" w:rsidRPr="007D010F" w:rsidRDefault="00847742" w:rsidP="007D010F">
            <w:pPr>
              <w:pStyle w:val="NoSpacing"/>
              <w:rPr>
                <w:rFonts w:ascii="Arial" w:hAnsi="Arial" w:cs="Arial"/>
                <w:sz w:val="24"/>
                <w:lang w:eastAsia="en-GB"/>
              </w:rPr>
            </w:pPr>
            <w:r w:rsidRPr="007D010F">
              <w:rPr>
                <w:rFonts w:ascii="Arial" w:hAnsi="Arial" w:cs="Arial"/>
                <w:sz w:val="24"/>
                <w:lang w:eastAsia="en-GB"/>
              </w:rPr>
              <w:t>March 202</w:t>
            </w:r>
            <w:r w:rsidR="005864AA">
              <w:rPr>
                <w:rFonts w:ascii="Arial" w:hAnsi="Arial" w:cs="Arial"/>
                <w:sz w:val="24"/>
                <w:lang w:eastAsia="en-GB"/>
              </w:rPr>
              <w:t>5</w:t>
            </w:r>
          </w:p>
          <w:p w14:paraId="00B4B8EC" w14:textId="77777777" w:rsidR="00847742" w:rsidRPr="007D010F" w:rsidRDefault="00847742" w:rsidP="007D010F">
            <w:pPr>
              <w:pStyle w:val="NoSpacing"/>
              <w:rPr>
                <w:rFonts w:ascii="Arial" w:hAnsi="Arial" w:cs="Arial"/>
                <w:sz w:val="24"/>
                <w:lang w:eastAsia="en-GB"/>
              </w:rPr>
            </w:pPr>
          </w:p>
        </w:tc>
      </w:tr>
      <w:tr w:rsidR="00847742" w:rsidRPr="003C59C5" w14:paraId="47F15473" w14:textId="77777777" w:rsidTr="007D010F">
        <w:tc>
          <w:tcPr>
            <w:tcW w:w="1965" w:type="dxa"/>
            <w:tcBorders>
              <w:top w:val="nil"/>
              <w:left w:val="single" w:sz="6" w:space="0" w:color="auto"/>
              <w:bottom w:val="single" w:sz="6" w:space="0" w:color="auto"/>
              <w:right w:val="single" w:sz="6" w:space="0" w:color="auto"/>
            </w:tcBorders>
            <w:shd w:val="clear" w:color="auto" w:fill="auto"/>
            <w:vAlign w:val="center"/>
            <w:hideMark/>
          </w:tcPr>
          <w:p w14:paraId="61A4F914" w14:textId="77777777" w:rsidR="00847742" w:rsidRPr="003C59C5" w:rsidRDefault="00847742" w:rsidP="007D010F">
            <w:pPr>
              <w:spacing w:after="0" w:line="240" w:lineRule="auto"/>
              <w:textAlignment w:val="baseline"/>
              <w:rPr>
                <w:rFonts w:ascii="Times New Roman" w:eastAsia="Times New Roman" w:hAnsi="Times New Roman" w:cs="Times New Roman"/>
                <w:sz w:val="24"/>
                <w:szCs w:val="24"/>
                <w:lang w:eastAsia="en-GB"/>
              </w:rPr>
            </w:pPr>
            <w:r w:rsidRPr="003C59C5">
              <w:rPr>
                <w:rFonts w:ascii="Arial" w:eastAsia="Times New Roman" w:hAnsi="Arial" w:cs="Arial"/>
                <w:b/>
                <w:bCs/>
                <w:color w:val="000000"/>
                <w:sz w:val="24"/>
                <w:szCs w:val="24"/>
                <w:lang w:eastAsia="en-GB"/>
              </w:rPr>
              <w:t>Author</w:t>
            </w:r>
            <w:r w:rsidRPr="003C59C5">
              <w:rPr>
                <w:rFonts w:ascii="Arial" w:eastAsia="Times New Roman" w:hAnsi="Arial" w:cs="Arial"/>
                <w:color w:val="000000"/>
                <w:sz w:val="24"/>
                <w:szCs w:val="24"/>
                <w:lang w:eastAsia="en-GB"/>
              </w:rPr>
              <w:t> </w:t>
            </w:r>
          </w:p>
        </w:tc>
        <w:tc>
          <w:tcPr>
            <w:tcW w:w="7035" w:type="dxa"/>
            <w:tcBorders>
              <w:top w:val="nil"/>
              <w:left w:val="nil"/>
              <w:bottom w:val="single" w:sz="6" w:space="0" w:color="auto"/>
              <w:right w:val="single" w:sz="6" w:space="0" w:color="auto"/>
            </w:tcBorders>
            <w:shd w:val="clear" w:color="auto" w:fill="auto"/>
            <w:vAlign w:val="center"/>
            <w:hideMark/>
          </w:tcPr>
          <w:p w14:paraId="10F467D9" w14:textId="0FD194F0" w:rsidR="00847742" w:rsidRPr="007D010F" w:rsidRDefault="005864AA" w:rsidP="007D010F">
            <w:pPr>
              <w:pStyle w:val="NoSpacing"/>
              <w:rPr>
                <w:rFonts w:ascii="Arial" w:hAnsi="Arial" w:cs="Arial"/>
                <w:sz w:val="24"/>
                <w:lang w:eastAsia="en-GB"/>
              </w:rPr>
            </w:pPr>
            <w:r>
              <w:rPr>
                <w:rFonts w:ascii="Arial" w:hAnsi="Arial" w:cs="Arial"/>
                <w:sz w:val="24"/>
                <w:lang w:eastAsia="en-GB"/>
              </w:rPr>
              <w:t>Peter Maclean</w:t>
            </w:r>
          </w:p>
          <w:p w14:paraId="0B409719" w14:textId="77777777" w:rsidR="00847742" w:rsidRPr="007D010F" w:rsidRDefault="00847742" w:rsidP="007D010F">
            <w:pPr>
              <w:pStyle w:val="NoSpacing"/>
              <w:rPr>
                <w:rFonts w:ascii="Arial" w:hAnsi="Arial" w:cs="Arial"/>
                <w:sz w:val="24"/>
                <w:lang w:eastAsia="en-GB"/>
              </w:rPr>
            </w:pPr>
          </w:p>
        </w:tc>
      </w:tr>
      <w:tr w:rsidR="00847742" w:rsidRPr="003C59C5" w14:paraId="37A7D1C9" w14:textId="77777777" w:rsidTr="007D010F">
        <w:tc>
          <w:tcPr>
            <w:tcW w:w="1965" w:type="dxa"/>
            <w:tcBorders>
              <w:top w:val="nil"/>
              <w:left w:val="single" w:sz="6" w:space="0" w:color="auto"/>
              <w:bottom w:val="single" w:sz="6" w:space="0" w:color="auto"/>
              <w:right w:val="single" w:sz="6" w:space="0" w:color="auto"/>
            </w:tcBorders>
            <w:shd w:val="clear" w:color="auto" w:fill="auto"/>
            <w:vAlign w:val="center"/>
            <w:hideMark/>
          </w:tcPr>
          <w:p w14:paraId="1041ACBA" w14:textId="77777777" w:rsidR="00847742" w:rsidRPr="003C59C5" w:rsidRDefault="00847742" w:rsidP="007D010F">
            <w:pPr>
              <w:spacing w:after="0" w:line="240" w:lineRule="auto"/>
              <w:textAlignment w:val="baseline"/>
              <w:rPr>
                <w:rFonts w:ascii="Times New Roman" w:eastAsia="Times New Roman" w:hAnsi="Times New Roman" w:cs="Times New Roman"/>
                <w:sz w:val="24"/>
                <w:szCs w:val="24"/>
                <w:lang w:eastAsia="en-GB"/>
              </w:rPr>
            </w:pPr>
            <w:r w:rsidRPr="003C59C5">
              <w:rPr>
                <w:rFonts w:ascii="Arial" w:eastAsia="Times New Roman" w:hAnsi="Arial" w:cs="Arial"/>
                <w:b/>
                <w:bCs/>
                <w:color w:val="000000"/>
                <w:sz w:val="24"/>
                <w:szCs w:val="24"/>
                <w:lang w:eastAsia="en-GB"/>
              </w:rPr>
              <w:t>Approved By</w:t>
            </w:r>
            <w:r w:rsidRPr="003C59C5">
              <w:rPr>
                <w:rFonts w:ascii="Arial" w:eastAsia="Times New Roman" w:hAnsi="Arial" w:cs="Arial"/>
                <w:color w:val="000000"/>
                <w:sz w:val="24"/>
                <w:szCs w:val="24"/>
                <w:lang w:eastAsia="en-GB"/>
              </w:rPr>
              <w:t> </w:t>
            </w:r>
          </w:p>
        </w:tc>
        <w:tc>
          <w:tcPr>
            <w:tcW w:w="7035" w:type="dxa"/>
            <w:tcBorders>
              <w:top w:val="nil"/>
              <w:left w:val="nil"/>
              <w:bottom w:val="single" w:sz="6" w:space="0" w:color="auto"/>
              <w:right w:val="single" w:sz="6" w:space="0" w:color="auto"/>
            </w:tcBorders>
            <w:shd w:val="clear" w:color="auto" w:fill="auto"/>
            <w:vAlign w:val="center"/>
            <w:hideMark/>
          </w:tcPr>
          <w:p w14:paraId="428C1318" w14:textId="77777777" w:rsidR="00847742" w:rsidRPr="007D010F" w:rsidRDefault="00847742" w:rsidP="007D010F">
            <w:pPr>
              <w:pStyle w:val="NoSpacing"/>
              <w:rPr>
                <w:rFonts w:ascii="Arial" w:hAnsi="Arial" w:cs="Arial"/>
                <w:sz w:val="24"/>
                <w:lang w:eastAsia="en-GB"/>
              </w:rPr>
            </w:pPr>
            <w:r w:rsidRPr="007D010F">
              <w:rPr>
                <w:rFonts w:ascii="Arial" w:hAnsi="Arial" w:cs="Arial"/>
                <w:sz w:val="24"/>
                <w:lang w:eastAsia="en-GB"/>
              </w:rPr>
              <w:t>Fiona Raeburn</w:t>
            </w:r>
          </w:p>
          <w:p w14:paraId="12C54A0D" w14:textId="77777777" w:rsidR="00847742" w:rsidRPr="007D010F" w:rsidRDefault="00847742" w:rsidP="007D010F">
            <w:pPr>
              <w:pStyle w:val="NoSpacing"/>
              <w:rPr>
                <w:rFonts w:ascii="Arial" w:hAnsi="Arial" w:cs="Arial"/>
                <w:sz w:val="24"/>
                <w:lang w:eastAsia="en-GB"/>
              </w:rPr>
            </w:pPr>
            <w:r w:rsidRPr="007D010F">
              <w:rPr>
                <w:rFonts w:ascii="Arial" w:hAnsi="Arial" w:cs="Arial"/>
                <w:sz w:val="24"/>
                <w:lang w:eastAsia="en-GB"/>
              </w:rPr>
              <w:t>Lucy Skea</w:t>
            </w:r>
          </w:p>
          <w:p w14:paraId="35B68F64" w14:textId="77777777" w:rsidR="00847742" w:rsidRPr="007D010F" w:rsidRDefault="00847742" w:rsidP="007D010F">
            <w:pPr>
              <w:pStyle w:val="NoSpacing"/>
              <w:rPr>
                <w:rFonts w:ascii="Arial" w:hAnsi="Arial" w:cs="Arial"/>
                <w:sz w:val="24"/>
                <w:lang w:eastAsia="en-GB"/>
              </w:rPr>
            </w:pPr>
          </w:p>
        </w:tc>
      </w:tr>
    </w:tbl>
    <w:p w14:paraId="3C27D96C" w14:textId="77777777" w:rsidR="00847742" w:rsidRPr="003C59C5" w:rsidRDefault="00847742" w:rsidP="00847742">
      <w:pPr>
        <w:spacing w:after="0" w:line="240" w:lineRule="auto"/>
        <w:jc w:val="both"/>
        <w:textAlignment w:val="baseline"/>
        <w:rPr>
          <w:rFonts w:ascii="Segoe UI" w:eastAsia="Times New Roman" w:hAnsi="Segoe UI" w:cs="Segoe UI"/>
          <w:sz w:val="18"/>
          <w:szCs w:val="18"/>
          <w:lang w:eastAsia="en-GB"/>
        </w:rPr>
      </w:pPr>
      <w:r w:rsidRPr="003C59C5">
        <w:rPr>
          <w:rFonts w:ascii="Arial" w:eastAsia="Times New Roman" w:hAnsi="Arial" w:cs="Arial"/>
          <w:color w:val="000000"/>
          <w:sz w:val="24"/>
          <w:szCs w:val="24"/>
          <w:lang w:eastAsia="en-GB"/>
        </w:rPr>
        <w:t>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0"/>
        <w:gridCol w:w="1779"/>
        <w:gridCol w:w="5255"/>
      </w:tblGrid>
      <w:tr w:rsidR="00847742" w:rsidRPr="003C59C5" w14:paraId="4F60973D" w14:textId="77777777" w:rsidTr="007D010F">
        <w:tc>
          <w:tcPr>
            <w:tcW w:w="9064" w:type="dxa"/>
            <w:gridSpan w:val="3"/>
            <w:tcBorders>
              <w:top w:val="single" w:sz="6" w:space="0" w:color="auto"/>
              <w:left w:val="single" w:sz="6" w:space="0" w:color="auto"/>
              <w:bottom w:val="single" w:sz="6" w:space="0" w:color="auto"/>
              <w:right w:val="single" w:sz="6" w:space="0" w:color="auto"/>
            </w:tcBorders>
            <w:shd w:val="clear" w:color="auto" w:fill="auto"/>
            <w:hideMark/>
          </w:tcPr>
          <w:p w14:paraId="5FCCD00F" w14:textId="77777777" w:rsidR="00847742" w:rsidRDefault="00847742" w:rsidP="00EC7364">
            <w:pPr>
              <w:spacing w:after="0" w:line="240" w:lineRule="auto"/>
              <w:jc w:val="both"/>
              <w:textAlignment w:val="baseline"/>
              <w:rPr>
                <w:rFonts w:ascii="Arial" w:eastAsia="Times New Roman" w:hAnsi="Arial" w:cs="Arial"/>
                <w:color w:val="000000"/>
                <w:sz w:val="24"/>
                <w:szCs w:val="24"/>
                <w:lang w:eastAsia="en-GB"/>
              </w:rPr>
            </w:pPr>
            <w:r w:rsidRPr="003C59C5">
              <w:rPr>
                <w:rFonts w:ascii="Arial" w:eastAsia="Times New Roman" w:hAnsi="Arial" w:cs="Arial"/>
                <w:b/>
                <w:bCs/>
                <w:color w:val="000000"/>
                <w:sz w:val="24"/>
                <w:szCs w:val="24"/>
                <w:lang w:eastAsia="en-GB"/>
              </w:rPr>
              <w:t>Revision Chronology</w:t>
            </w:r>
            <w:r w:rsidRPr="003C59C5">
              <w:rPr>
                <w:rFonts w:ascii="Arial" w:eastAsia="Times New Roman" w:hAnsi="Arial" w:cs="Arial"/>
                <w:color w:val="000000"/>
                <w:sz w:val="24"/>
                <w:szCs w:val="24"/>
                <w:lang w:eastAsia="en-GB"/>
              </w:rPr>
              <w:t> </w:t>
            </w:r>
          </w:p>
          <w:p w14:paraId="4F56C8C2" w14:textId="77777777" w:rsidR="00847742" w:rsidRPr="003C59C5" w:rsidRDefault="00847742" w:rsidP="00EC7364">
            <w:pPr>
              <w:spacing w:after="0" w:line="240" w:lineRule="auto"/>
              <w:jc w:val="both"/>
              <w:textAlignment w:val="baseline"/>
              <w:rPr>
                <w:rFonts w:ascii="Times New Roman" w:eastAsia="Times New Roman" w:hAnsi="Times New Roman" w:cs="Times New Roman"/>
                <w:sz w:val="24"/>
                <w:szCs w:val="24"/>
                <w:lang w:eastAsia="en-GB"/>
              </w:rPr>
            </w:pPr>
          </w:p>
        </w:tc>
      </w:tr>
      <w:tr w:rsidR="00847742" w:rsidRPr="003C59C5" w14:paraId="2E52FFBB" w14:textId="77777777" w:rsidTr="007D010F">
        <w:tc>
          <w:tcPr>
            <w:tcW w:w="2030" w:type="dxa"/>
            <w:tcBorders>
              <w:top w:val="nil"/>
              <w:left w:val="single" w:sz="6" w:space="0" w:color="auto"/>
              <w:bottom w:val="single" w:sz="6" w:space="0" w:color="auto"/>
              <w:right w:val="single" w:sz="6" w:space="0" w:color="auto"/>
            </w:tcBorders>
            <w:shd w:val="clear" w:color="auto" w:fill="auto"/>
            <w:hideMark/>
          </w:tcPr>
          <w:p w14:paraId="4796D40E" w14:textId="77777777" w:rsidR="00847742" w:rsidRPr="003C59C5" w:rsidRDefault="00847742" w:rsidP="00EC7364">
            <w:pPr>
              <w:spacing w:after="0" w:line="240" w:lineRule="auto"/>
              <w:jc w:val="both"/>
              <w:textAlignment w:val="baseline"/>
              <w:rPr>
                <w:rFonts w:ascii="Times New Roman" w:eastAsia="Times New Roman" w:hAnsi="Times New Roman" w:cs="Times New Roman"/>
                <w:sz w:val="24"/>
                <w:szCs w:val="24"/>
                <w:lang w:eastAsia="en-GB"/>
              </w:rPr>
            </w:pPr>
            <w:r w:rsidRPr="003C59C5">
              <w:rPr>
                <w:rFonts w:ascii="Arial" w:eastAsia="Times New Roman" w:hAnsi="Arial" w:cs="Arial"/>
                <w:b/>
                <w:bCs/>
                <w:color w:val="000000"/>
                <w:sz w:val="24"/>
                <w:szCs w:val="24"/>
                <w:lang w:eastAsia="en-GB"/>
              </w:rPr>
              <w:t>Version Number</w:t>
            </w:r>
            <w:r w:rsidRPr="003C59C5">
              <w:rPr>
                <w:rFonts w:ascii="Arial" w:eastAsia="Times New Roman" w:hAnsi="Arial" w:cs="Arial"/>
                <w:color w:val="000000"/>
                <w:sz w:val="24"/>
                <w:szCs w:val="24"/>
                <w:lang w:eastAsia="en-GB"/>
              </w:rPr>
              <w:t> </w:t>
            </w:r>
          </w:p>
        </w:tc>
        <w:tc>
          <w:tcPr>
            <w:tcW w:w="1779" w:type="dxa"/>
            <w:tcBorders>
              <w:top w:val="nil"/>
              <w:left w:val="nil"/>
              <w:bottom w:val="single" w:sz="6" w:space="0" w:color="auto"/>
              <w:right w:val="single" w:sz="6" w:space="0" w:color="auto"/>
            </w:tcBorders>
            <w:shd w:val="clear" w:color="auto" w:fill="auto"/>
            <w:hideMark/>
          </w:tcPr>
          <w:p w14:paraId="0051EF36" w14:textId="77777777" w:rsidR="00847742" w:rsidRPr="003C59C5" w:rsidRDefault="00847742" w:rsidP="00EC7364">
            <w:pPr>
              <w:spacing w:after="0" w:line="240" w:lineRule="auto"/>
              <w:jc w:val="both"/>
              <w:textAlignment w:val="baseline"/>
              <w:rPr>
                <w:rFonts w:ascii="Times New Roman" w:eastAsia="Times New Roman" w:hAnsi="Times New Roman" w:cs="Times New Roman"/>
                <w:sz w:val="24"/>
                <w:szCs w:val="24"/>
                <w:lang w:eastAsia="en-GB"/>
              </w:rPr>
            </w:pPr>
            <w:r w:rsidRPr="003C59C5">
              <w:rPr>
                <w:rFonts w:ascii="Arial" w:eastAsia="Times New Roman" w:hAnsi="Arial" w:cs="Arial"/>
                <w:b/>
                <w:bCs/>
                <w:color w:val="000000"/>
                <w:sz w:val="24"/>
                <w:szCs w:val="24"/>
                <w:lang w:eastAsia="en-GB"/>
              </w:rPr>
              <w:t>Effective Date</w:t>
            </w:r>
            <w:r w:rsidRPr="003C59C5">
              <w:rPr>
                <w:rFonts w:ascii="Arial" w:eastAsia="Times New Roman" w:hAnsi="Arial" w:cs="Arial"/>
                <w:color w:val="000000"/>
                <w:sz w:val="24"/>
                <w:szCs w:val="24"/>
                <w:lang w:eastAsia="en-GB"/>
              </w:rPr>
              <w:t> </w:t>
            </w:r>
          </w:p>
        </w:tc>
        <w:tc>
          <w:tcPr>
            <w:tcW w:w="5255" w:type="dxa"/>
            <w:tcBorders>
              <w:top w:val="nil"/>
              <w:left w:val="nil"/>
              <w:bottom w:val="single" w:sz="6" w:space="0" w:color="auto"/>
              <w:right w:val="single" w:sz="6" w:space="0" w:color="auto"/>
            </w:tcBorders>
            <w:shd w:val="clear" w:color="auto" w:fill="auto"/>
            <w:hideMark/>
          </w:tcPr>
          <w:p w14:paraId="6252A117" w14:textId="77777777" w:rsidR="00847742" w:rsidRDefault="00847742" w:rsidP="00EC7364">
            <w:pPr>
              <w:spacing w:after="0" w:line="240" w:lineRule="auto"/>
              <w:jc w:val="both"/>
              <w:textAlignment w:val="baseline"/>
              <w:rPr>
                <w:rFonts w:ascii="Arial" w:eastAsia="Times New Roman" w:hAnsi="Arial" w:cs="Arial"/>
                <w:color w:val="000000"/>
                <w:sz w:val="24"/>
                <w:szCs w:val="24"/>
                <w:lang w:eastAsia="en-GB"/>
              </w:rPr>
            </w:pPr>
            <w:r w:rsidRPr="003C59C5">
              <w:rPr>
                <w:rFonts w:ascii="Arial" w:eastAsia="Times New Roman" w:hAnsi="Arial" w:cs="Arial"/>
                <w:b/>
                <w:bCs/>
                <w:color w:val="000000"/>
                <w:sz w:val="24"/>
                <w:szCs w:val="24"/>
                <w:lang w:eastAsia="en-GB"/>
              </w:rPr>
              <w:t>Reason for Change</w:t>
            </w:r>
            <w:r w:rsidRPr="003C59C5">
              <w:rPr>
                <w:rFonts w:ascii="Arial" w:eastAsia="Times New Roman" w:hAnsi="Arial" w:cs="Arial"/>
                <w:color w:val="000000"/>
                <w:sz w:val="24"/>
                <w:szCs w:val="24"/>
                <w:lang w:eastAsia="en-GB"/>
              </w:rPr>
              <w:t> </w:t>
            </w:r>
          </w:p>
          <w:p w14:paraId="16FACB39" w14:textId="77777777" w:rsidR="00847742" w:rsidRPr="003C59C5" w:rsidRDefault="00847742" w:rsidP="00EC7364">
            <w:pPr>
              <w:spacing w:after="0" w:line="240" w:lineRule="auto"/>
              <w:jc w:val="both"/>
              <w:textAlignment w:val="baseline"/>
              <w:rPr>
                <w:rFonts w:ascii="Times New Roman" w:eastAsia="Times New Roman" w:hAnsi="Times New Roman" w:cs="Times New Roman"/>
                <w:sz w:val="24"/>
                <w:szCs w:val="24"/>
                <w:lang w:eastAsia="en-GB"/>
              </w:rPr>
            </w:pPr>
          </w:p>
        </w:tc>
      </w:tr>
      <w:tr w:rsidR="00847742" w:rsidRPr="003C59C5" w14:paraId="54AB8013" w14:textId="77777777" w:rsidTr="007D010F">
        <w:tc>
          <w:tcPr>
            <w:tcW w:w="2030" w:type="dxa"/>
            <w:tcBorders>
              <w:top w:val="nil"/>
              <w:left w:val="single" w:sz="6" w:space="0" w:color="auto"/>
              <w:bottom w:val="single" w:sz="6" w:space="0" w:color="auto"/>
              <w:right w:val="single" w:sz="6" w:space="0" w:color="auto"/>
            </w:tcBorders>
            <w:shd w:val="clear" w:color="auto" w:fill="auto"/>
            <w:hideMark/>
          </w:tcPr>
          <w:p w14:paraId="41298159" w14:textId="77777777" w:rsidR="00847742" w:rsidRPr="003C59C5" w:rsidRDefault="00847742" w:rsidP="00EC7364">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1</w:t>
            </w:r>
          </w:p>
        </w:tc>
        <w:tc>
          <w:tcPr>
            <w:tcW w:w="1779" w:type="dxa"/>
            <w:tcBorders>
              <w:top w:val="nil"/>
              <w:left w:val="nil"/>
              <w:bottom w:val="single" w:sz="6" w:space="0" w:color="auto"/>
              <w:right w:val="single" w:sz="6" w:space="0" w:color="auto"/>
            </w:tcBorders>
            <w:shd w:val="clear" w:color="auto" w:fill="auto"/>
            <w:hideMark/>
          </w:tcPr>
          <w:p w14:paraId="70541A0E" w14:textId="77777777" w:rsidR="00847742" w:rsidRPr="003C59C5" w:rsidRDefault="00847742" w:rsidP="00EC7364">
            <w:pPr>
              <w:spacing w:after="0" w:line="240" w:lineRule="auto"/>
              <w:jc w:val="both"/>
              <w:textAlignment w:val="baseline"/>
              <w:rPr>
                <w:rFonts w:ascii="Times New Roman" w:eastAsia="Times New Roman" w:hAnsi="Times New Roman" w:cs="Times New Roman"/>
                <w:sz w:val="24"/>
                <w:szCs w:val="24"/>
                <w:lang w:eastAsia="en-GB"/>
              </w:rPr>
            </w:pPr>
            <w:r w:rsidRPr="003C59C5">
              <w:rPr>
                <w:rFonts w:ascii="Arial" w:eastAsia="Times New Roman" w:hAnsi="Arial" w:cs="Arial"/>
                <w:color w:val="000000"/>
                <w:sz w:val="24"/>
                <w:szCs w:val="24"/>
                <w:lang w:eastAsia="en-GB"/>
              </w:rPr>
              <w:t>April 2020 </w:t>
            </w:r>
          </w:p>
        </w:tc>
        <w:tc>
          <w:tcPr>
            <w:tcW w:w="5255" w:type="dxa"/>
            <w:tcBorders>
              <w:top w:val="nil"/>
              <w:left w:val="nil"/>
              <w:bottom w:val="single" w:sz="6" w:space="0" w:color="auto"/>
              <w:right w:val="single" w:sz="6" w:space="0" w:color="auto"/>
            </w:tcBorders>
            <w:shd w:val="clear" w:color="auto" w:fill="auto"/>
            <w:hideMark/>
          </w:tcPr>
          <w:p w14:paraId="65788C69" w14:textId="29F0A27C" w:rsidR="00847742" w:rsidRDefault="00847742" w:rsidP="00EC7364">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New SLA</w:t>
            </w:r>
          </w:p>
          <w:p w14:paraId="5CAF85C3" w14:textId="77777777" w:rsidR="00847742" w:rsidRPr="003C59C5" w:rsidRDefault="00847742" w:rsidP="00EC7364">
            <w:pPr>
              <w:spacing w:after="0" w:line="240" w:lineRule="auto"/>
              <w:jc w:val="both"/>
              <w:textAlignment w:val="baseline"/>
              <w:rPr>
                <w:rFonts w:ascii="Times New Roman" w:eastAsia="Times New Roman" w:hAnsi="Times New Roman" w:cs="Times New Roman"/>
                <w:sz w:val="24"/>
                <w:szCs w:val="24"/>
                <w:lang w:eastAsia="en-GB"/>
              </w:rPr>
            </w:pPr>
          </w:p>
        </w:tc>
      </w:tr>
      <w:tr w:rsidR="00847742" w:rsidRPr="003C59C5" w14:paraId="3AE412A2" w14:textId="77777777" w:rsidTr="002A22D0">
        <w:tc>
          <w:tcPr>
            <w:tcW w:w="2030" w:type="dxa"/>
            <w:tcBorders>
              <w:top w:val="nil"/>
              <w:left w:val="single" w:sz="6" w:space="0" w:color="auto"/>
              <w:bottom w:val="single" w:sz="4" w:space="0" w:color="auto"/>
              <w:right w:val="single" w:sz="6" w:space="0" w:color="auto"/>
            </w:tcBorders>
            <w:shd w:val="clear" w:color="auto" w:fill="auto"/>
            <w:hideMark/>
          </w:tcPr>
          <w:p w14:paraId="525D4ADE" w14:textId="77777777" w:rsidR="00847742" w:rsidRPr="003C59C5" w:rsidRDefault="00847742" w:rsidP="00EC7364">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2</w:t>
            </w:r>
          </w:p>
        </w:tc>
        <w:tc>
          <w:tcPr>
            <w:tcW w:w="1779" w:type="dxa"/>
            <w:tcBorders>
              <w:top w:val="nil"/>
              <w:left w:val="nil"/>
              <w:bottom w:val="single" w:sz="4" w:space="0" w:color="auto"/>
              <w:right w:val="single" w:sz="6" w:space="0" w:color="auto"/>
            </w:tcBorders>
            <w:shd w:val="clear" w:color="auto" w:fill="auto"/>
            <w:hideMark/>
          </w:tcPr>
          <w:p w14:paraId="600E0B0D" w14:textId="77777777" w:rsidR="00847742" w:rsidRPr="003C59C5" w:rsidRDefault="00847742" w:rsidP="00EC7364">
            <w:pPr>
              <w:spacing w:after="0" w:line="240" w:lineRule="auto"/>
              <w:jc w:val="both"/>
              <w:textAlignment w:val="baseline"/>
              <w:rPr>
                <w:rFonts w:ascii="Times New Roman" w:eastAsia="Times New Roman" w:hAnsi="Times New Roman" w:cs="Times New Roman"/>
                <w:sz w:val="24"/>
                <w:szCs w:val="24"/>
                <w:lang w:eastAsia="en-GB"/>
              </w:rPr>
            </w:pPr>
            <w:r w:rsidRPr="003C59C5">
              <w:rPr>
                <w:rFonts w:ascii="Arial" w:eastAsia="Times New Roman" w:hAnsi="Arial" w:cs="Arial"/>
                <w:color w:val="000000"/>
                <w:sz w:val="24"/>
                <w:szCs w:val="24"/>
                <w:lang w:eastAsia="en-GB"/>
              </w:rPr>
              <w:t>April 2021 </w:t>
            </w:r>
          </w:p>
        </w:tc>
        <w:tc>
          <w:tcPr>
            <w:tcW w:w="5255" w:type="dxa"/>
            <w:tcBorders>
              <w:top w:val="nil"/>
              <w:left w:val="nil"/>
              <w:bottom w:val="single" w:sz="4" w:space="0" w:color="auto"/>
              <w:right w:val="single" w:sz="6" w:space="0" w:color="auto"/>
            </w:tcBorders>
            <w:shd w:val="clear" w:color="auto" w:fill="auto"/>
            <w:hideMark/>
          </w:tcPr>
          <w:p w14:paraId="15CADADA" w14:textId="345E7813" w:rsidR="00847742" w:rsidRDefault="00847742" w:rsidP="00EC7364">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Annual Update</w:t>
            </w:r>
          </w:p>
          <w:p w14:paraId="223A8A9B" w14:textId="77777777" w:rsidR="00847742" w:rsidRPr="003C59C5" w:rsidRDefault="00847742" w:rsidP="00EC7364">
            <w:pPr>
              <w:spacing w:after="0" w:line="240" w:lineRule="auto"/>
              <w:jc w:val="both"/>
              <w:textAlignment w:val="baseline"/>
              <w:rPr>
                <w:rFonts w:ascii="Times New Roman" w:eastAsia="Times New Roman" w:hAnsi="Times New Roman" w:cs="Times New Roman"/>
                <w:sz w:val="24"/>
                <w:szCs w:val="24"/>
                <w:lang w:eastAsia="en-GB"/>
              </w:rPr>
            </w:pPr>
          </w:p>
        </w:tc>
      </w:tr>
      <w:tr w:rsidR="002A22D0" w:rsidRPr="003C59C5" w14:paraId="72A8CF79" w14:textId="77777777" w:rsidTr="002A22D0">
        <w:tc>
          <w:tcPr>
            <w:tcW w:w="2030" w:type="dxa"/>
            <w:tcBorders>
              <w:top w:val="single" w:sz="4" w:space="0" w:color="auto"/>
              <w:left w:val="single" w:sz="4" w:space="0" w:color="auto"/>
              <w:bottom w:val="single" w:sz="4" w:space="0" w:color="auto"/>
              <w:right w:val="single" w:sz="4" w:space="0" w:color="auto"/>
            </w:tcBorders>
            <w:shd w:val="clear" w:color="auto" w:fill="auto"/>
          </w:tcPr>
          <w:p w14:paraId="26E72FB0" w14:textId="0E1D3AB9" w:rsidR="002A22D0" w:rsidRDefault="002A22D0" w:rsidP="00EC7364">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p w14:paraId="21C661DC" w14:textId="77777777" w:rsidR="002A22D0" w:rsidRDefault="002A22D0" w:rsidP="00EC7364">
            <w:pPr>
              <w:spacing w:after="0" w:line="240" w:lineRule="auto"/>
              <w:jc w:val="both"/>
              <w:textAlignment w:val="baseline"/>
              <w:rPr>
                <w:rFonts w:ascii="Arial" w:eastAsia="Times New Roman" w:hAnsi="Arial" w:cs="Arial"/>
                <w:color w:val="000000"/>
                <w:sz w:val="24"/>
                <w:szCs w:val="24"/>
                <w:lang w:eastAsia="en-GB"/>
              </w:rPr>
            </w:pP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52A4E6AC" w14:textId="696D4C9E" w:rsidR="002A22D0" w:rsidRPr="003C59C5" w:rsidRDefault="002A22D0" w:rsidP="00EC7364">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April 2023</w:t>
            </w:r>
          </w:p>
        </w:tc>
        <w:tc>
          <w:tcPr>
            <w:tcW w:w="5255" w:type="dxa"/>
            <w:tcBorders>
              <w:top w:val="single" w:sz="4" w:space="0" w:color="auto"/>
              <w:left w:val="single" w:sz="4" w:space="0" w:color="auto"/>
              <w:bottom w:val="single" w:sz="4" w:space="0" w:color="auto"/>
              <w:right w:val="single" w:sz="4" w:space="0" w:color="auto"/>
            </w:tcBorders>
            <w:shd w:val="clear" w:color="auto" w:fill="auto"/>
          </w:tcPr>
          <w:p w14:paraId="1B3245B4" w14:textId="145FA58B" w:rsidR="002A22D0" w:rsidRPr="003C59C5" w:rsidRDefault="002A22D0" w:rsidP="00EC7364">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Annual Update</w:t>
            </w:r>
          </w:p>
        </w:tc>
      </w:tr>
      <w:tr w:rsidR="005864AA" w:rsidRPr="003C59C5" w14:paraId="73A6BE4C" w14:textId="77777777" w:rsidTr="002A22D0">
        <w:tc>
          <w:tcPr>
            <w:tcW w:w="2030" w:type="dxa"/>
            <w:tcBorders>
              <w:top w:val="single" w:sz="4" w:space="0" w:color="auto"/>
              <w:left w:val="single" w:sz="4" w:space="0" w:color="auto"/>
              <w:bottom w:val="single" w:sz="4" w:space="0" w:color="auto"/>
              <w:right w:val="single" w:sz="4" w:space="0" w:color="auto"/>
            </w:tcBorders>
            <w:shd w:val="clear" w:color="auto" w:fill="auto"/>
          </w:tcPr>
          <w:p w14:paraId="5EDF50EF" w14:textId="3830CD3F" w:rsidR="005864AA" w:rsidRDefault="005864AA" w:rsidP="00EC7364">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w:t>
            </w:r>
          </w:p>
          <w:p w14:paraId="51F1151B" w14:textId="77777777" w:rsidR="005864AA" w:rsidRDefault="005864AA" w:rsidP="00EC7364">
            <w:pPr>
              <w:spacing w:after="0" w:line="240" w:lineRule="auto"/>
              <w:jc w:val="both"/>
              <w:textAlignment w:val="baseline"/>
              <w:rPr>
                <w:rFonts w:ascii="Arial" w:eastAsia="Times New Roman" w:hAnsi="Arial" w:cs="Arial"/>
                <w:color w:val="000000"/>
                <w:sz w:val="24"/>
                <w:szCs w:val="24"/>
                <w:lang w:eastAsia="en-GB"/>
              </w:rPr>
            </w:pP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28C37C4F" w14:textId="433EBD5B" w:rsidR="005864AA" w:rsidRDefault="005864AA" w:rsidP="00EC7364">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April 2024</w:t>
            </w:r>
          </w:p>
        </w:tc>
        <w:tc>
          <w:tcPr>
            <w:tcW w:w="5255" w:type="dxa"/>
            <w:tcBorders>
              <w:top w:val="single" w:sz="4" w:space="0" w:color="auto"/>
              <w:left w:val="single" w:sz="4" w:space="0" w:color="auto"/>
              <w:bottom w:val="single" w:sz="4" w:space="0" w:color="auto"/>
              <w:right w:val="single" w:sz="4" w:space="0" w:color="auto"/>
            </w:tcBorders>
            <w:shd w:val="clear" w:color="auto" w:fill="auto"/>
          </w:tcPr>
          <w:p w14:paraId="6E84B1D2" w14:textId="58F3333C" w:rsidR="005864AA" w:rsidRDefault="005864AA" w:rsidP="00EC7364">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Annual Update</w:t>
            </w:r>
          </w:p>
        </w:tc>
      </w:tr>
    </w:tbl>
    <w:p w14:paraId="5FDF29EA" w14:textId="42522855" w:rsidR="001175EA" w:rsidRDefault="001175EA" w:rsidP="001175EA">
      <w:pPr>
        <w:spacing w:after="0" w:line="240" w:lineRule="auto"/>
        <w:jc w:val="both"/>
        <w:textAlignment w:val="baseline"/>
        <w:rPr>
          <w:rFonts w:ascii="Segoe UI" w:eastAsia="Times New Roman" w:hAnsi="Segoe UI" w:cs="Segoe UI"/>
          <w:sz w:val="18"/>
          <w:szCs w:val="18"/>
          <w:lang w:eastAsia="en-GB"/>
        </w:rPr>
      </w:pPr>
    </w:p>
    <w:p w14:paraId="64E22FBA" w14:textId="77777777" w:rsidR="001175EA" w:rsidRDefault="001175EA">
      <w:pPr>
        <w:rPr>
          <w:rFonts w:ascii="Segoe UI" w:eastAsia="Times New Roman" w:hAnsi="Segoe UI" w:cs="Segoe UI"/>
          <w:sz w:val="18"/>
          <w:szCs w:val="18"/>
          <w:lang w:eastAsia="en-GB"/>
        </w:rPr>
      </w:pPr>
      <w:r>
        <w:rPr>
          <w:rFonts w:ascii="Segoe UI" w:eastAsia="Times New Roman" w:hAnsi="Segoe UI" w:cs="Segoe UI"/>
          <w:sz w:val="18"/>
          <w:szCs w:val="18"/>
          <w:lang w:eastAsia="en-GB"/>
        </w:rPr>
        <w:br w:type="page"/>
      </w:r>
    </w:p>
    <w:p w14:paraId="4F0B7101" w14:textId="77777777" w:rsidR="00C543E3" w:rsidRPr="00C543E3" w:rsidRDefault="00C543E3">
      <w:pPr>
        <w:rPr>
          <w:rFonts w:ascii="Arial" w:eastAsia="Times New Roman" w:hAnsi="Arial" w:cs="Arial"/>
          <w:sz w:val="24"/>
          <w:szCs w:val="24"/>
          <w:lang w:eastAsia="en-GB"/>
        </w:rPr>
      </w:pPr>
    </w:p>
    <w:sdt>
      <w:sdtPr>
        <w:rPr>
          <w:rFonts w:asciiTheme="minorHAnsi" w:eastAsiaTheme="minorHAnsi" w:hAnsiTheme="minorHAnsi" w:cstheme="minorBidi"/>
          <w:color w:val="auto"/>
          <w:sz w:val="22"/>
          <w:szCs w:val="22"/>
          <w:lang w:val="en-GB"/>
        </w:rPr>
        <w:id w:val="1712378512"/>
        <w:docPartObj>
          <w:docPartGallery w:val="Table of Contents"/>
          <w:docPartUnique/>
        </w:docPartObj>
      </w:sdtPr>
      <w:sdtEndPr>
        <w:rPr>
          <w:b/>
          <w:bCs/>
          <w:noProof/>
        </w:rPr>
      </w:sdtEndPr>
      <w:sdtContent>
        <w:p w14:paraId="45D692CD" w14:textId="7185BF4B" w:rsidR="00C543E3" w:rsidRPr="00C543E3" w:rsidRDefault="00C543E3" w:rsidP="00C543E3">
          <w:pPr>
            <w:pStyle w:val="TOCHeading"/>
            <w:spacing w:before="0" w:line="360" w:lineRule="auto"/>
            <w:rPr>
              <w:rFonts w:ascii="Arial" w:hAnsi="Arial" w:cs="Arial"/>
              <w:b/>
              <w:color w:val="auto"/>
              <w:sz w:val="24"/>
              <w:szCs w:val="24"/>
            </w:rPr>
          </w:pPr>
          <w:r w:rsidRPr="00C543E3">
            <w:rPr>
              <w:rFonts w:ascii="Arial" w:hAnsi="Arial" w:cs="Arial"/>
              <w:b/>
              <w:color w:val="auto"/>
              <w:sz w:val="24"/>
              <w:szCs w:val="24"/>
            </w:rPr>
            <w:t>Contents</w:t>
          </w:r>
        </w:p>
        <w:p w14:paraId="34313558" w14:textId="6CAEE028" w:rsidR="00C543E3" w:rsidRPr="00C543E3" w:rsidRDefault="00C543E3">
          <w:pPr>
            <w:pStyle w:val="TOC1"/>
            <w:tabs>
              <w:tab w:val="left" w:pos="440"/>
              <w:tab w:val="right" w:leader="dot" w:pos="9016"/>
            </w:tabs>
            <w:rPr>
              <w:rFonts w:ascii="Arial" w:eastAsiaTheme="minorEastAsia" w:hAnsi="Arial" w:cs="Arial"/>
              <w:noProof/>
              <w:sz w:val="24"/>
              <w:szCs w:val="24"/>
              <w:lang w:eastAsia="en-GB"/>
            </w:rPr>
          </w:pPr>
          <w:r w:rsidRPr="00C543E3">
            <w:rPr>
              <w:rFonts w:ascii="Arial" w:hAnsi="Arial" w:cs="Arial"/>
              <w:b/>
              <w:bCs/>
              <w:noProof/>
              <w:sz w:val="24"/>
              <w:szCs w:val="24"/>
            </w:rPr>
            <w:fldChar w:fldCharType="begin"/>
          </w:r>
          <w:r w:rsidRPr="00C543E3">
            <w:rPr>
              <w:rFonts w:ascii="Arial" w:hAnsi="Arial" w:cs="Arial"/>
              <w:b/>
              <w:bCs/>
              <w:noProof/>
              <w:sz w:val="24"/>
              <w:szCs w:val="24"/>
            </w:rPr>
            <w:instrText xml:space="preserve"> TOC \o "1-3" \h \z \u </w:instrText>
          </w:r>
          <w:r w:rsidRPr="00C543E3">
            <w:rPr>
              <w:rFonts w:ascii="Arial" w:hAnsi="Arial" w:cs="Arial"/>
              <w:b/>
              <w:bCs/>
              <w:noProof/>
              <w:sz w:val="24"/>
              <w:szCs w:val="24"/>
            </w:rPr>
            <w:fldChar w:fldCharType="separate"/>
          </w:r>
          <w:hyperlink w:anchor="_Toc66103594" w:history="1">
            <w:r w:rsidRPr="00C543E3">
              <w:rPr>
                <w:rStyle w:val="Hyperlink"/>
                <w:rFonts w:ascii="Arial" w:eastAsia="Calibri" w:hAnsi="Arial" w:cs="Arial"/>
                <w:noProof/>
                <w:sz w:val="24"/>
                <w:szCs w:val="24"/>
                <w:lang w:eastAsia="en-GB"/>
              </w:rPr>
              <w:t>1</w:t>
            </w:r>
            <w:r w:rsidRPr="00C543E3">
              <w:rPr>
                <w:rFonts w:ascii="Arial" w:eastAsiaTheme="minorEastAsia" w:hAnsi="Arial" w:cs="Arial"/>
                <w:noProof/>
                <w:sz w:val="24"/>
                <w:szCs w:val="24"/>
                <w:lang w:eastAsia="en-GB"/>
              </w:rPr>
              <w:tab/>
            </w:r>
            <w:r w:rsidRPr="00C543E3">
              <w:rPr>
                <w:rStyle w:val="Hyperlink"/>
                <w:rFonts w:ascii="Arial" w:eastAsia="Arial" w:hAnsi="Arial" w:cs="Arial"/>
                <w:noProof/>
                <w:sz w:val="24"/>
                <w:szCs w:val="24"/>
                <w:lang w:eastAsia="en-GB"/>
              </w:rPr>
              <w:t>Introduction</w:t>
            </w:r>
            <w:r w:rsidRPr="00C543E3">
              <w:rPr>
                <w:rFonts w:ascii="Arial" w:hAnsi="Arial" w:cs="Arial"/>
                <w:noProof/>
                <w:webHidden/>
                <w:sz w:val="24"/>
                <w:szCs w:val="24"/>
              </w:rPr>
              <w:tab/>
            </w:r>
            <w:r w:rsidRPr="00C543E3">
              <w:rPr>
                <w:rFonts w:ascii="Arial" w:hAnsi="Arial" w:cs="Arial"/>
                <w:noProof/>
                <w:webHidden/>
                <w:sz w:val="24"/>
                <w:szCs w:val="24"/>
              </w:rPr>
              <w:fldChar w:fldCharType="begin"/>
            </w:r>
            <w:r w:rsidRPr="00C543E3">
              <w:rPr>
                <w:rFonts w:ascii="Arial" w:hAnsi="Arial" w:cs="Arial"/>
                <w:noProof/>
                <w:webHidden/>
                <w:sz w:val="24"/>
                <w:szCs w:val="24"/>
              </w:rPr>
              <w:instrText xml:space="preserve"> PAGEREF _Toc66103594 \h </w:instrText>
            </w:r>
            <w:r w:rsidRPr="00C543E3">
              <w:rPr>
                <w:rFonts w:ascii="Arial" w:hAnsi="Arial" w:cs="Arial"/>
                <w:noProof/>
                <w:webHidden/>
                <w:sz w:val="24"/>
                <w:szCs w:val="24"/>
              </w:rPr>
            </w:r>
            <w:r w:rsidRPr="00C543E3">
              <w:rPr>
                <w:rFonts w:ascii="Arial" w:hAnsi="Arial" w:cs="Arial"/>
                <w:noProof/>
                <w:webHidden/>
                <w:sz w:val="24"/>
                <w:szCs w:val="24"/>
              </w:rPr>
              <w:fldChar w:fldCharType="separate"/>
            </w:r>
            <w:r w:rsidRPr="00C543E3">
              <w:rPr>
                <w:rFonts w:ascii="Arial" w:hAnsi="Arial" w:cs="Arial"/>
                <w:noProof/>
                <w:webHidden/>
                <w:sz w:val="24"/>
                <w:szCs w:val="24"/>
              </w:rPr>
              <w:t>3</w:t>
            </w:r>
            <w:r w:rsidRPr="00C543E3">
              <w:rPr>
                <w:rFonts w:ascii="Arial" w:hAnsi="Arial" w:cs="Arial"/>
                <w:noProof/>
                <w:webHidden/>
                <w:sz w:val="24"/>
                <w:szCs w:val="24"/>
              </w:rPr>
              <w:fldChar w:fldCharType="end"/>
            </w:r>
          </w:hyperlink>
        </w:p>
        <w:p w14:paraId="5ED851A0" w14:textId="77777777" w:rsidR="00C543E3" w:rsidRPr="00C543E3" w:rsidRDefault="00BD7A3D">
          <w:pPr>
            <w:pStyle w:val="TOC1"/>
            <w:tabs>
              <w:tab w:val="left" w:pos="440"/>
              <w:tab w:val="right" w:leader="dot" w:pos="9016"/>
            </w:tabs>
            <w:rPr>
              <w:rFonts w:ascii="Arial" w:eastAsiaTheme="minorEastAsia" w:hAnsi="Arial" w:cs="Arial"/>
              <w:noProof/>
              <w:sz w:val="24"/>
              <w:szCs w:val="24"/>
              <w:lang w:eastAsia="en-GB"/>
            </w:rPr>
          </w:pPr>
          <w:hyperlink w:anchor="_Toc66103595" w:history="1">
            <w:r w:rsidR="00C543E3" w:rsidRPr="00C543E3">
              <w:rPr>
                <w:rStyle w:val="Hyperlink"/>
                <w:rFonts w:ascii="Arial" w:eastAsia="Arial" w:hAnsi="Arial" w:cs="Arial"/>
                <w:noProof/>
                <w:sz w:val="24"/>
                <w:szCs w:val="24"/>
                <w:lang w:eastAsia="en-GB"/>
              </w:rPr>
              <w:t>2</w:t>
            </w:r>
            <w:r w:rsidR="00C543E3" w:rsidRPr="00C543E3">
              <w:rPr>
                <w:rFonts w:ascii="Arial" w:eastAsiaTheme="minorEastAsia" w:hAnsi="Arial" w:cs="Arial"/>
                <w:noProof/>
                <w:sz w:val="24"/>
                <w:szCs w:val="24"/>
                <w:lang w:eastAsia="en-GB"/>
              </w:rPr>
              <w:tab/>
            </w:r>
            <w:r w:rsidR="00C543E3" w:rsidRPr="00C543E3">
              <w:rPr>
                <w:rStyle w:val="Hyperlink"/>
                <w:rFonts w:ascii="Arial" w:eastAsia="Arial" w:hAnsi="Arial" w:cs="Arial"/>
                <w:noProof/>
                <w:sz w:val="24"/>
                <w:szCs w:val="24"/>
                <w:lang w:eastAsia="en-GB"/>
              </w:rPr>
              <w:t>Background to service</w:t>
            </w:r>
            <w:r w:rsidR="00C543E3" w:rsidRPr="00C543E3">
              <w:rPr>
                <w:rFonts w:ascii="Arial" w:hAnsi="Arial" w:cs="Arial"/>
                <w:noProof/>
                <w:webHidden/>
                <w:sz w:val="24"/>
                <w:szCs w:val="24"/>
              </w:rPr>
              <w:tab/>
            </w:r>
            <w:r w:rsidR="00C543E3" w:rsidRPr="00C543E3">
              <w:rPr>
                <w:rFonts w:ascii="Arial" w:hAnsi="Arial" w:cs="Arial"/>
                <w:noProof/>
                <w:webHidden/>
                <w:sz w:val="24"/>
                <w:szCs w:val="24"/>
              </w:rPr>
              <w:fldChar w:fldCharType="begin"/>
            </w:r>
            <w:r w:rsidR="00C543E3" w:rsidRPr="00C543E3">
              <w:rPr>
                <w:rFonts w:ascii="Arial" w:hAnsi="Arial" w:cs="Arial"/>
                <w:noProof/>
                <w:webHidden/>
                <w:sz w:val="24"/>
                <w:szCs w:val="24"/>
              </w:rPr>
              <w:instrText xml:space="preserve"> PAGEREF _Toc66103595 \h </w:instrText>
            </w:r>
            <w:r w:rsidR="00C543E3" w:rsidRPr="00C543E3">
              <w:rPr>
                <w:rFonts w:ascii="Arial" w:hAnsi="Arial" w:cs="Arial"/>
                <w:noProof/>
                <w:webHidden/>
                <w:sz w:val="24"/>
                <w:szCs w:val="24"/>
              </w:rPr>
            </w:r>
            <w:r w:rsidR="00C543E3" w:rsidRPr="00C543E3">
              <w:rPr>
                <w:rFonts w:ascii="Arial" w:hAnsi="Arial" w:cs="Arial"/>
                <w:noProof/>
                <w:webHidden/>
                <w:sz w:val="24"/>
                <w:szCs w:val="24"/>
              </w:rPr>
              <w:fldChar w:fldCharType="separate"/>
            </w:r>
            <w:r w:rsidR="00C543E3" w:rsidRPr="00C543E3">
              <w:rPr>
                <w:rFonts w:ascii="Arial" w:hAnsi="Arial" w:cs="Arial"/>
                <w:noProof/>
                <w:webHidden/>
                <w:sz w:val="24"/>
                <w:szCs w:val="24"/>
              </w:rPr>
              <w:t>3</w:t>
            </w:r>
            <w:r w:rsidR="00C543E3" w:rsidRPr="00C543E3">
              <w:rPr>
                <w:rFonts w:ascii="Arial" w:hAnsi="Arial" w:cs="Arial"/>
                <w:noProof/>
                <w:webHidden/>
                <w:sz w:val="24"/>
                <w:szCs w:val="24"/>
              </w:rPr>
              <w:fldChar w:fldCharType="end"/>
            </w:r>
          </w:hyperlink>
        </w:p>
        <w:p w14:paraId="2BC04D1B" w14:textId="77777777" w:rsidR="00C543E3" w:rsidRPr="00C543E3" w:rsidRDefault="00BD7A3D">
          <w:pPr>
            <w:pStyle w:val="TOC1"/>
            <w:tabs>
              <w:tab w:val="left" w:pos="440"/>
              <w:tab w:val="right" w:leader="dot" w:pos="9016"/>
            </w:tabs>
            <w:rPr>
              <w:rFonts w:ascii="Arial" w:eastAsiaTheme="minorEastAsia" w:hAnsi="Arial" w:cs="Arial"/>
              <w:noProof/>
              <w:sz w:val="24"/>
              <w:szCs w:val="24"/>
              <w:lang w:eastAsia="en-GB"/>
            </w:rPr>
          </w:pPr>
          <w:hyperlink w:anchor="_Toc66103596" w:history="1">
            <w:r w:rsidR="00C543E3" w:rsidRPr="00C543E3">
              <w:rPr>
                <w:rStyle w:val="Hyperlink"/>
                <w:rFonts w:ascii="Arial" w:eastAsia="Calibri" w:hAnsi="Arial" w:cs="Arial"/>
                <w:noProof/>
                <w:sz w:val="24"/>
                <w:szCs w:val="24"/>
                <w:lang w:eastAsia="en-GB"/>
              </w:rPr>
              <w:t>3</w:t>
            </w:r>
            <w:r w:rsidR="00C543E3" w:rsidRPr="00C543E3">
              <w:rPr>
                <w:rFonts w:ascii="Arial" w:eastAsiaTheme="minorEastAsia" w:hAnsi="Arial" w:cs="Arial"/>
                <w:noProof/>
                <w:sz w:val="24"/>
                <w:szCs w:val="24"/>
                <w:lang w:eastAsia="en-GB"/>
              </w:rPr>
              <w:tab/>
            </w:r>
            <w:r w:rsidR="00C543E3" w:rsidRPr="00C543E3">
              <w:rPr>
                <w:rStyle w:val="Hyperlink"/>
                <w:rFonts w:ascii="Arial" w:eastAsia="Arial" w:hAnsi="Arial" w:cs="Arial"/>
                <w:noProof/>
                <w:sz w:val="24"/>
                <w:szCs w:val="24"/>
                <w:lang w:eastAsia="en-GB"/>
              </w:rPr>
              <w:t>Service aims</w:t>
            </w:r>
            <w:r w:rsidR="00C543E3" w:rsidRPr="00C543E3">
              <w:rPr>
                <w:rFonts w:ascii="Arial" w:hAnsi="Arial" w:cs="Arial"/>
                <w:noProof/>
                <w:webHidden/>
                <w:sz w:val="24"/>
                <w:szCs w:val="24"/>
              </w:rPr>
              <w:tab/>
            </w:r>
            <w:r w:rsidR="00C543E3" w:rsidRPr="00C543E3">
              <w:rPr>
                <w:rFonts w:ascii="Arial" w:hAnsi="Arial" w:cs="Arial"/>
                <w:noProof/>
                <w:webHidden/>
                <w:sz w:val="24"/>
                <w:szCs w:val="24"/>
              </w:rPr>
              <w:fldChar w:fldCharType="begin"/>
            </w:r>
            <w:r w:rsidR="00C543E3" w:rsidRPr="00C543E3">
              <w:rPr>
                <w:rFonts w:ascii="Arial" w:hAnsi="Arial" w:cs="Arial"/>
                <w:noProof/>
                <w:webHidden/>
                <w:sz w:val="24"/>
                <w:szCs w:val="24"/>
              </w:rPr>
              <w:instrText xml:space="preserve"> PAGEREF _Toc66103596 \h </w:instrText>
            </w:r>
            <w:r w:rsidR="00C543E3" w:rsidRPr="00C543E3">
              <w:rPr>
                <w:rFonts w:ascii="Arial" w:hAnsi="Arial" w:cs="Arial"/>
                <w:noProof/>
                <w:webHidden/>
                <w:sz w:val="24"/>
                <w:szCs w:val="24"/>
              </w:rPr>
            </w:r>
            <w:r w:rsidR="00C543E3" w:rsidRPr="00C543E3">
              <w:rPr>
                <w:rFonts w:ascii="Arial" w:hAnsi="Arial" w:cs="Arial"/>
                <w:noProof/>
                <w:webHidden/>
                <w:sz w:val="24"/>
                <w:szCs w:val="24"/>
              </w:rPr>
              <w:fldChar w:fldCharType="separate"/>
            </w:r>
            <w:r w:rsidR="00C543E3" w:rsidRPr="00C543E3">
              <w:rPr>
                <w:rFonts w:ascii="Arial" w:hAnsi="Arial" w:cs="Arial"/>
                <w:noProof/>
                <w:webHidden/>
                <w:sz w:val="24"/>
                <w:szCs w:val="24"/>
              </w:rPr>
              <w:t>3</w:t>
            </w:r>
            <w:r w:rsidR="00C543E3" w:rsidRPr="00C543E3">
              <w:rPr>
                <w:rFonts w:ascii="Arial" w:hAnsi="Arial" w:cs="Arial"/>
                <w:noProof/>
                <w:webHidden/>
                <w:sz w:val="24"/>
                <w:szCs w:val="24"/>
              </w:rPr>
              <w:fldChar w:fldCharType="end"/>
            </w:r>
          </w:hyperlink>
        </w:p>
        <w:p w14:paraId="0B5AC074" w14:textId="77777777" w:rsidR="00C543E3" w:rsidRPr="00C543E3" w:rsidRDefault="00BD7A3D">
          <w:pPr>
            <w:pStyle w:val="TOC1"/>
            <w:tabs>
              <w:tab w:val="left" w:pos="440"/>
              <w:tab w:val="right" w:leader="dot" w:pos="9016"/>
            </w:tabs>
            <w:rPr>
              <w:rFonts w:ascii="Arial" w:eastAsiaTheme="minorEastAsia" w:hAnsi="Arial" w:cs="Arial"/>
              <w:noProof/>
              <w:sz w:val="24"/>
              <w:szCs w:val="24"/>
              <w:lang w:eastAsia="en-GB"/>
            </w:rPr>
          </w:pPr>
          <w:hyperlink w:anchor="_Toc66103597" w:history="1">
            <w:r w:rsidR="00C543E3" w:rsidRPr="00C543E3">
              <w:rPr>
                <w:rStyle w:val="Hyperlink"/>
                <w:rFonts w:ascii="Arial" w:eastAsia="Arial" w:hAnsi="Arial" w:cs="Arial"/>
                <w:noProof/>
                <w:sz w:val="24"/>
                <w:szCs w:val="24"/>
                <w:lang w:eastAsia="en-GB"/>
              </w:rPr>
              <w:t>4</w:t>
            </w:r>
            <w:r w:rsidR="00C543E3" w:rsidRPr="00C543E3">
              <w:rPr>
                <w:rFonts w:ascii="Arial" w:eastAsiaTheme="minorEastAsia" w:hAnsi="Arial" w:cs="Arial"/>
                <w:noProof/>
                <w:sz w:val="24"/>
                <w:szCs w:val="24"/>
                <w:lang w:eastAsia="en-GB"/>
              </w:rPr>
              <w:tab/>
            </w:r>
            <w:r w:rsidR="00C543E3" w:rsidRPr="00C543E3">
              <w:rPr>
                <w:rStyle w:val="Hyperlink"/>
                <w:rFonts w:ascii="Arial" w:eastAsia="Arial" w:hAnsi="Arial" w:cs="Arial"/>
                <w:noProof/>
                <w:sz w:val="24"/>
                <w:szCs w:val="24"/>
                <w:lang w:eastAsia="en-GB"/>
              </w:rPr>
              <w:t>Service outline and standard</w:t>
            </w:r>
            <w:r w:rsidR="00C543E3" w:rsidRPr="00C543E3">
              <w:rPr>
                <w:rFonts w:ascii="Arial" w:hAnsi="Arial" w:cs="Arial"/>
                <w:noProof/>
                <w:webHidden/>
                <w:sz w:val="24"/>
                <w:szCs w:val="24"/>
              </w:rPr>
              <w:tab/>
            </w:r>
            <w:r w:rsidR="00C543E3" w:rsidRPr="00C543E3">
              <w:rPr>
                <w:rFonts w:ascii="Arial" w:hAnsi="Arial" w:cs="Arial"/>
                <w:noProof/>
                <w:webHidden/>
                <w:sz w:val="24"/>
                <w:szCs w:val="24"/>
              </w:rPr>
              <w:fldChar w:fldCharType="begin"/>
            </w:r>
            <w:r w:rsidR="00C543E3" w:rsidRPr="00C543E3">
              <w:rPr>
                <w:rFonts w:ascii="Arial" w:hAnsi="Arial" w:cs="Arial"/>
                <w:noProof/>
                <w:webHidden/>
                <w:sz w:val="24"/>
                <w:szCs w:val="24"/>
              </w:rPr>
              <w:instrText xml:space="preserve"> PAGEREF _Toc66103597 \h </w:instrText>
            </w:r>
            <w:r w:rsidR="00C543E3" w:rsidRPr="00C543E3">
              <w:rPr>
                <w:rFonts w:ascii="Arial" w:hAnsi="Arial" w:cs="Arial"/>
                <w:noProof/>
                <w:webHidden/>
                <w:sz w:val="24"/>
                <w:szCs w:val="24"/>
              </w:rPr>
            </w:r>
            <w:r w:rsidR="00C543E3" w:rsidRPr="00C543E3">
              <w:rPr>
                <w:rFonts w:ascii="Arial" w:hAnsi="Arial" w:cs="Arial"/>
                <w:noProof/>
                <w:webHidden/>
                <w:sz w:val="24"/>
                <w:szCs w:val="24"/>
              </w:rPr>
              <w:fldChar w:fldCharType="separate"/>
            </w:r>
            <w:r w:rsidR="00C543E3" w:rsidRPr="00C543E3">
              <w:rPr>
                <w:rFonts w:ascii="Arial" w:hAnsi="Arial" w:cs="Arial"/>
                <w:noProof/>
                <w:webHidden/>
                <w:sz w:val="24"/>
                <w:szCs w:val="24"/>
              </w:rPr>
              <w:t>4</w:t>
            </w:r>
            <w:r w:rsidR="00C543E3" w:rsidRPr="00C543E3">
              <w:rPr>
                <w:rFonts w:ascii="Arial" w:hAnsi="Arial" w:cs="Arial"/>
                <w:noProof/>
                <w:webHidden/>
                <w:sz w:val="24"/>
                <w:szCs w:val="24"/>
              </w:rPr>
              <w:fldChar w:fldCharType="end"/>
            </w:r>
          </w:hyperlink>
        </w:p>
        <w:p w14:paraId="3395EC19" w14:textId="77777777" w:rsidR="00C543E3" w:rsidRPr="00C543E3" w:rsidRDefault="00BD7A3D">
          <w:pPr>
            <w:pStyle w:val="TOC1"/>
            <w:tabs>
              <w:tab w:val="left" w:pos="440"/>
              <w:tab w:val="right" w:leader="dot" w:pos="9016"/>
            </w:tabs>
            <w:rPr>
              <w:rFonts w:ascii="Arial" w:eastAsiaTheme="minorEastAsia" w:hAnsi="Arial" w:cs="Arial"/>
              <w:noProof/>
              <w:sz w:val="24"/>
              <w:szCs w:val="24"/>
              <w:lang w:eastAsia="en-GB"/>
            </w:rPr>
          </w:pPr>
          <w:hyperlink w:anchor="_Toc66103598" w:history="1">
            <w:r w:rsidR="00C543E3" w:rsidRPr="00C543E3">
              <w:rPr>
                <w:rStyle w:val="Hyperlink"/>
                <w:rFonts w:ascii="Arial" w:eastAsia="Arial" w:hAnsi="Arial" w:cs="Arial"/>
                <w:noProof/>
                <w:sz w:val="24"/>
                <w:szCs w:val="24"/>
                <w:lang w:eastAsia="en-GB"/>
              </w:rPr>
              <w:t>5</w:t>
            </w:r>
            <w:r w:rsidR="00C543E3" w:rsidRPr="00C543E3">
              <w:rPr>
                <w:rFonts w:ascii="Arial" w:eastAsiaTheme="minorEastAsia" w:hAnsi="Arial" w:cs="Arial"/>
                <w:noProof/>
                <w:sz w:val="24"/>
                <w:szCs w:val="24"/>
                <w:lang w:eastAsia="en-GB"/>
              </w:rPr>
              <w:tab/>
            </w:r>
            <w:r w:rsidR="00C543E3" w:rsidRPr="00C543E3">
              <w:rPr>
                <w:rStyle w:val="Hyperlink"/>
                <w:rFonts w:ascii="Arial" w:eastAsia="Arial" w:hAnsi="Arial" w:cs="Arial"/>
                <w:noProof/>
                <w:sz w:val="24"/>
                <w:szCs w:val="24"/>
                <w:lang w:eastAsia="en-GB"/>
              </w:rPr>
              <w:t>Training requirement</w:t>
            </w:r>
            <w:r w:rsidR="00C543E3" w:rsidRPr="00C543E3">
              <w:rPr>
                <w:rFonts w:ascii="Arial" w:hAnsi="Arial" w:cs="Arial"/>
                <w:noProof/>
                <w:webHidden/>
                <w:sz w:val="24"/>
                <w:szCs w:val="24"/>
              </w:rPr>
              <w:tab/>
            </w:r>
            <w:r w:rsidR="00C543E3" w:rsidRPr="00C543E3">
              <w:rPr>
                <w:rFonts w:ascii="Arial" w:hAnsi="Arial" w:cs="Arial"/>
                <w:noProof/>
                <w:webHidden/>
                <w:sz w:val="24"/>
                <w:szCs w:val="24"/>
              </w:rPr>
              <w:fldChar w:fldCharType="begin"/>
            </w:r>
            <w:r w:rsidR="00C543E3" w:rsidRPr="00C543E3">
              <w:rPr>
                <w:rFonts w:ascii="Arial" w:hAnsi="Arial" w:cs="Arial"/>
                <w:noProof/>
                <w:webHidden/>
                <w:sz w:val="24"/>
                <w:szCs w:val="24"/>
              </w:rPr>
              <w:instrText xml:space="preserve"> PAGEREF _Toc66103598 \h </w:instrText>
            </w:r>
            <w:r w:rsidR="00C543E3" w:rsidRPr="00C543E3">
              <w:rPr>
                <w:rFonts w:ascii="Arial" w:hAnsi="Arial" w:cs="Arial"/>
                <w:noProof/>
                <w:webHidden/>
                <w:sz w:val="24"/>
                <w:szCs w:val="24"/>
              </w:rPr>
            </w:r>
            <w:r w:rsidR="00C543E3" w:rsidRPr="00C543E3">
              <w:rPr>
                <w:rFonts w:ascii="Arial" w:hAnsi="Arial" w:cs="Arial"/>
                <w:noProof/>
                <w:webHidden/>
                <w:sz w:val="24"/>
                <w:szCs w:val="24"/>
              </w:rPr>
              <w:fldChar w:fldCharType="separate"/>
            </w:r>
            <w:r w:rsidR="00C543E3" w:rsidRPr="00C543E3">
              <w:rPr>
                <w:rFonts w:ascii="Arial" w:hAnsi="Arial" w:cs="Arial"/>
                <w:noProof/>
                <w:webHidden/>
                <w:sz w:val="24"/>
                <w:szCs w:val="24"/>
              </w:rPr>
              <w:t>5</w:t>
            </w:r>
            <w:r w:rsidR="00C543E3" w:rsidRPr="00C543E3">
              <w:rPr>
                <w:rFonts w:ascii="Arial" w:hAnsi="Arial" w:cs="Arial"/>
                <w:noProof/>
                <w:webHidden/>
                <w:sz w:val="24"/>
                <w:szCs w:val="24"/>
              </w:rPr>
              <w:fldChar w:fldCharType="end"/>
            </w:r>
          </w:hyperlink>
        </w:p>
        <w:p w14:paraId="198F3946" w14:textId="77777777" w:rsidR="00C543E3" w:rsidRPr="00C543E3" w:rsidRDefault="00BD7A3D">
          <w:pPr>
            <w:pStyle w:val="TOC1"/>
            <w:tabs>
              <w:tab w:val="left" w:pos="440"/>
              <w:tab w:val="right" w:leader="dot" w:pos="9016"/>
            </w:tabs>
            <w:rPr>
              <w:rFonts w:ascii="Arial" w:eastAsiaTheme="minorEastAsia" w:hAnsi="Arial" w:cs="Arial"/>
              <w:noProof/>
              <w:sz w:val="24"/>
              <w:szCs w:val="24"/>
              <w:lang w:eastAsia="en-GB"/>
            </w:rPr>
          </w:pPr>
          <w:hyperlink w:anchor="_Toc66103599" w:history="1">
            <w:r w:rsidR="00C543E3" w:rsidRPr="00C543E3">
              <w:rPr>
                <w:rStyle w:val="Hyperlink"/>
                <w:rFonts w:ascii="Arial" w:eastAsia="Calibri" w:hAnsi="Arial" w:cs="Arial"/>
                <w:noProof/>
                <w:sz w:val="24"/>
                <w:szCs w:val="24"/>
                <w:lang w:eastAsia="en-GB"/>
              </w:rPr>
              <w:t>6</w:t>
            </w:r>
            <w:r w:rsidR="00C543E3" w:rsidRPr="00C543E3">
              <w:rPr>
                <w:rFonts w:ascii="Arial" w:eastAsiaTheme="minorEastAsia" w:hAnsi="Arial" w:cs="Arial"/>
                <w:noProof/>
                <w:sz w:val="24"/>
                <w:szCs w:val="24"/>
                <w:lang w:eastAsia="en-GB"/>
              </w:rPr>
              <w:tab/>
            </w:r>
            <w:r w:rsidR="00C543E3" w:rsidRPr="00C543E3">
              <w:rPr>
                <w:rStyle w:val="Hyperlink"/>
                <w:rFonts w:ascii="Arial" w:eastAsia="Arial" w:hAnsi="Arial" w:cs="Arial"/>
                <w:noProof/>
                <w:sz w:val="24"/>
                <w:szCs w:val="24"/>
                <w:lang w:eastAsia="en-GB"/>
              </w:rPr>
              <w:t>Monitoring &amp; evaluation</w:t>
            </w:r>
            <w:r w:rsidR="00C543E3" w:rsidRPr="00C543E3">
              <w:rPr>
                <w:rFonts w:ascii="Arial" w:hAnsi="Arial" w:cs="Arial"/>
                <w:noProof/>
                <w:webHidden/>
                <w:sz w:val="24"/>
                <w:szCs w:val="24"/>
              </w:rPr>
              <w:tab/>
            </w:r>
            <w:r w:rsidR="00C543E3" w:rsidRPr="00C543E3">
              <w:rPr>
                <w:rFonts w:ascii="Arial" w:hAnsi="Arial" w:cs="Arial"/>
                <w:noProof/>
                <w:webHidden/>
                <w:sz w:val="24"/>
                <w:szCs w:val="24"/>
              </w:rPr>
              <w:fldChar w:fldCharType="begin"/>
            </w:r>
            <w:r w:rsidR="00C543E3" w:rsidRPr="00C543E3">
              <w:rPr>
                <w:rFonts w:ascii="Arial" w:hAnsi="Arial" w:cs="Arial"/>
                <w:noProof/>
                <w:webHidden/>
                <w:sz w:val="24"/>
                <w:szCs w:val="24"/>
              </w:rPr>
              <w:instrText xml:space="preserve"> PAGEREF _Toc66103599 \h </w:instrText>
            </w:r>
            <w:r w:rsidR="00C543E3" w:rsidRPr="00C543E3">
              <w:rPr>
                <w:rFonts w:ascii="Arial" w:hAnsi="Arial" w:cs="Arial"/>
                <w:noProof/>
                <w:webHidden/>
                <w:sz w:val="24"/>
                <w:szCs w:val="24"/>
              </w:rPr>
            </w:r>
            <w:r w:rsidR="00C543E3" w:rsidRPr="00C543E3">
              <w:rPr>
                <w:rFonts w:ascii="Arial" w:hAnsi="Arial" w:cs="Arial"/>
                <w:noProof/>
                <w:webHidden/>
                <w:sz w:val="24"/>
                <w:szCs w:val="24"/>
              </w:rPr>
              <w:fldChar w:fldCharType="separate"/>
            </w:r>
            <w:r w:rsidR="00C543E3" w:rsidRPr="00C543E3">
              <w:rPr>
                <w:rFonts w:ascii="Arial" w:hAnsi="Arial" w:cs="Arial"/>
                <w:noProof/>
                <w:webHidden/>
                <w:sz w:val="24"/>
                <w:szCs w:val="24"/>
              </w:rPr>
              <w:t>5</w:t>
            </w:r>
            <w:r w:rsidR="00C543E3" w:rsidRPr="00C543E3">
              <w:rPr>
                <w:rFonts w:ascii="Arial" w:hAnsi="Arial" w:cs="Arial"/>
                <w:noProof/>
                <w:webHidden/>
                <w:sz w:val="24"/>
                <w:szCs w:val="24"/>
              </w:rPr>
              <w:fldChar w:fldCharType="end"/>
            </w:r>
          </w:hyperlink>
        </w:p>
        <w:p w14:paraId="26950321" w14:textId="77777777" w:rsidR="00C543E3" w:rsidRPr="00C543E3" w:rsidRDefault="00BD7A3D">
          <w:pPr>
            <w:pStyle w:val="TOC1"/>
            <w:tabs>
              <w:tab w:val="left" w:pos="440"/>
              <w:tab w:val="right" w:leader="dot" w:pos="9016"/>
            </w:tabs>
            <w:rPr>
              <w:rFonts w:ascii="Arial" w:eastAsiaTheme="minorEastAsia" w:hAnsi="Arial" w:cs="Arial"/>
              <w:noProof/>
              <w:sz w:val="24"/>
              <w:szCs w:val="24"/>
              <w:lang w:eastAsia="en-GB"/>
            </w:rPr>
          </w:pPr>
          <w:hyperlink w:anchor="_Toc66103600" w:history="1">
            <w:r w:rsidR="00C543E3" w:rsidRPr="00C543E3">
              <w:rPr>
                <w:rStyle w:val="Hyperlink"/>
                <w:rFonts w:ascii="Arial" w:eastAsia="Calibri" w:hAnsi="Arial" w:cs="Arial"/>
                <w:noProof/>
                <w:sz w:val="24"/>
                <w:szCs w:val="24"/>
                <w:lang w:eastAsia="en-GB"/>
              </w:rPr>
              <w:t>7</w:t>
            </w:r>
            <w:r w:rsidR="00C543E3" w:rsidRPr="00C543E3">
              <w:rPr>
                <w:rFonts w:ascii="Arial" w:eastAsiaTheme="minorEastAsia" w:hAnsi="Arial" w:cs="Arial"/>
                <w:noProof/>
                <w:sz w:val="24"/>
                <w:szCs w:val="24"/>
                <w:lang w:eastAsia="en-GB"/>
              </w:rPr>
              <w:tab/>
            </w:r>
            <w:r w:rsidR="00C543E3" w:rsidRPr="00C543E3">
              <w:rPr>
                <w:rStyle w:val="Hyperlink"/>
                <w:rFonts w:ascii="Arial" w:eastAsia="Arial" w:hAnsi="Arial" w:cs="Arial"/>
                <w:noProof/>
                <w:sz w:val="24"/>
                <w:szCs w:val="24"/>
                <w:lang w:eastAsia="en-GB"/>
              </w:rPr>
              <w:t>Claims and payment</w:t>
            </w:r>
            <w:r w:rsidR="00C543E3" w:rsidRPr="00C543E3">
              <w:rPr>
                <w:rFonts w:ascii="Arial" w:hAnsi="Arial" w:cs="Arial"/>
                <w:noProof/>
                <w:webHidden/>
                <w:sz w:val="24"/>
                <w:szCs w:val="24"/>
              </w:rPr>
              <w:tab/>
            </w:r>
            <w:r w:rsidR="00C543E3" w:rsidRPr="00C543E3">
              <w:rPr>
                <w:rFonts w:ascii="Arial" w:hAnsi="Arial" w:cs="Arial"/>
                <w:noProof/>
                <w:webHidden/>
                <w:sz w:val="24"/>
                <w:szCs w:val="24"/>
              </w:rPr>
              <w:fldChar w:fldCharType="begin"/>
            </w:r>
            <w:r w:rsidR="00C543E3" w:rsidRPr="00C543E3">
              <w:rPr>
                <w:rFonts w:ascii="Arial" w:hAnsi="Arial" w:cs="Arial"/>
                <w:noProof/>
                <w:webHidden/>
                <w:sz w:val="24"/>
                <w:szCs w:val="24"/>
              </w:rPr>
              <w:instrText xml:space="preserve"> PAGEREF _Toc66103600 \h </w:instrText>
            </w:r>
            <w:r w:rsidR="00C543E3" w:rsidRPr="00C543E3">
              <w:rPr>
                <w:rFonts w:ascii="Arial" w:hAnsi="Arial" w:cs="Arial"/>
                <w:noProof/>
                <w:webHidden/>
                <w:sz w:val="24"/>
                <w:szCs w:val="24"/>
              </w:rPr>
            </w:r>
            <w:r w:rsidR="00C543E3" w:rsidRPr="00C543E3">
              <w:rPr>
                <w:rFonts w:ascii="Arial" w:hAnsi="Arial" w:cs="Arial"/>
                <w:noProof/>
                <w:webHidden/>
                <w:sz w:val="24"/>
                <w:szCs w:val="24"/>
              </w:rPr>
              <w:fldChar w:fldCharType="separate"/>
            </w:r>
            <w:r w:rsidR="00C543E3" w:rsidRPr="00C543E3">
              <w:rPr>
                <w:rFonts w:ascii="Arial" w:hAnsi="Arial" w:cs="Arial"/>
                <w:noProof/>
                <w:webHidden/>
                <w:sz w:val="24"/>
                <w:szCs w:val="24"/>
              </w:rPr>
              <w:t>6</w:t>
            </w:r>
            <w:r w:rsidR="00C543E3" w:rsidRPr="00C543E3">
              <w:rPr>
                <w:rFonts w:ascii="Arial" w:hAnsi="Arial" w:cs="Arial"/>
                <w:noProof/>
                <w:webHidden/>
                <w:sz w:val="24"/>
                <w:szCs w:val="24"/>
              </w:rPr>
              <w:fldChar w:fldCharType="end"/>
            </w:r>
          </w:hyperlink>
        </w:p>
        <w:p w14:paraId="3DA5D484" w14:textId="77777777" w:rsidR="00C543E3" w:rsidRPr="00C543E3" w:rsidRDefault="00BD7A3D">
          <w:pPr>
            <w:pStyle w:val="TOC1"/>
            <w:tabs>
              <w:tab w:val="left" w:pos="440"/>
              <w:tab w:val="right" w:leader="dot" w:pos="9016"/>
            </w:tabs>
            <w:rPr>
              <w:rFonts w:ascii="Arial" w:eastAsiaTheme="minorEastAsia" w:hAnsi="Arial" w:cs="Arial"/>
              <w:noProof/>
              <w:sz w:val="24"/>
              <w:szCs w:val="24"/>
              <w:lang w:eastAsia="en-GB"/>
            </w:rPr>
          </w:pPr>
          <w:hyperlink w:anchor="_Toc66103601" w:history="1">
            <w:r w:rsidR="00C543E3" w:rsidRPr="00C543E3">
              <w:rPr>
                <w:rStyle w:val="Hyperlink"/>
                <w:rFonts w:ascii="Arial" w:eastAsia="Calibri" w:hAnsi="Arial" w:cs="Arial"/>
                <w:noProof/>
                <w:sz w:val="24"/>
                <w:szCs w:val="24"/>
                <w:lang w:eastAsia="en-GB"/>
              </w:rPr>
              <w:t>8</w:t>
            </w:r>
            <w:r w:rsidR="00C543E3" w:rsidRPr="00C543E3">
              <w:rPr>
                <w:rFonts w:ascii="Arial" w:eastAsiaTheme="minorEastAsia" w:hAnsi="Arial" w:cs="Arial"/>
                <w:noProof/>
                <w:sz w:val="24"/>
                <w:szCs w:val="24"/>
                <w:lang w:eastAsia="en-GB"/>
              </w:rPr>
              <w:tab/>
            </w:r>
            <w:r w:rsidR="00C543E3" w:rsidRPr="00C543E3">
              <w:rPr>
                <w:rStyle w:val="Hyperlink"/>
                <w:rFonts w:ascii="Arial" w:eastAsia="Arial" w:hAnsi="Arial" w:cs="Arial"/>
                <w:noProof/>
                <w:sz w:val="24"/>
                <w:szCs w:val="24"/>
                <w:lang w:eastAsia="en-GB"/>
              </w:rPr>
              <w:t>References</w:t>
            </w:r>
            <w:r w:rsidR="00C543E3" w:rsidRPr="00C543E3">
              <w:rPr>
                <w:rFonts w:ascii="Arial" w:hAnsi="Arial" w:cs="Arial"/>
                <w:noProof/>
                <w:webHidden/>
                <w:sz w:val="24"/>
                <w:szCs w:val="24"/>
              </w:rPr>
              <w:tab/>
            </w:r>
            <w:r w:rsidR="00C543E3" w:rsidRPr="00C543E3">
              <w:rPr>
                <w:rFonts w:ascii="Arial" w:hAnsi="Arial" w:cs="Arial"/>
                <w:noProof/>
                <w:webHidden/>
                <w:sz w:val="24"/>
                <w:szCs w:val="24"/>
              </w:rPr>
              <w:fldChar w:fldCharType="begin"/>
            </w:r>
            <w:r w:rsidR="00C543E3" w:rsidRPr="00C543E3">
              <w:rPr>
                <w:rFonts w:ascii="Arial" w:hAnsi="Arial" w:cs="Arial"/>
                <w:noProof/>
                <w:webHidden/>
                <w:sz w:val="24"/>
                <w:szCs w:val="24"/>
              </w:rPr>
              <w:instrText xml:space="preserve"> PAGEREF _Toc66103601 \h </w:instrText>
            </w:r>
            <w:r w:rsidR="00C543E3" w:rsidRPr="00C543E3">
              <w:rPr>
                <w:rFonts w:ascii="Arial" w:hAnsi="Arial" w:cs="Arial"/>
                <w:noProof/>
                <w:webHidden/>
                <w:sz w:val="24"/>
                <w:szCs w:val="24"/>
              </w:rPr>
            </w:r>
            <w:r w:rsidR="00C543E3" w:rsidRPr="00C543E3">
              <w:rPr>
                <w:rFonts w:ascii="Arial" w:hAnsi="Arial" w:cs="Arial"/>
                <w:noProof/>
                <w:webHidden/>
                <w:sz w:val="24"/>
                <w:szCs w:val="24"/>
              </w:rPr>
              <w:fldChar w:fldCharType="separate"/>
            </w:r>
            <w:r w:rsidR="00C543E3" w:rsidRPr="00C543E3">
              <w:rPr>
                <w:rFonts w:ascii="Arial" w:hAnsi="Arial" w:cs="Arial"/>
                <w:noProof/>
                <w:webHidden/>
                <w:sz w:val="24"/>
                <w:szCs w:val="24"/>
              </w:rPr>
              <w:t>6</w:t>
            </w:r>
            <w:r w:rsidR="00C543E3" w:rsidRPr="00C543E3">
              <w:rPr>
                <w:rFonts w:ascii="Arial" w:hAnsi="Arial" w:cs="Arial"/>
                <w:noProof/>
                <w:webHidden/>
                <w:sz w:val="24"/>
                <w:szCs w:val="24"/>
              </w:rPr>
              <w:fldChar w:fldCharType="end"/>
            </w:r>
          </w:hyperlink>
        </w:p>
        <w:p w14:paraId="53CA9F4F" w14:textId="3A705F76" w:rsidR="00C543E3" w:rsidRDefault="00C543E3">
          <w:r w:rsidRPr="00C543E3">
            <w:rPr>
              <w:rFonts w:ascii="Arial" w:hAnsi="Arial" w:cs="Arial"/>
              <w:b/>
              <w:bCs/>
              <w:noProof/>
              <w:sz w:val="24"/>
              <w:szCs w:val="24"/>
            </w:rPr>
            <w:fldChar w:fldCharType="end"/>
          </w:r>
        </w:p>
      </w:sdtContent>
    </w:sdt>
    <w:p w14:paraId="04FB2243" w14:textId="77777777" w:rsidR="00C543E3" w:rsidRDefault="00C543E3">
      <w:pPr>
        <w:rPr>
          <w:rFonts w:ascii="Segoe UI" w:eastAsia="Times New Roman" w:hAnsi="Segoe UI" w:cs="Segoe UI"/>
          <w:sz w:val="18"/>
          <w:szCs w:val="18"/>
          <w:lang w:eastAsia="en-GB"/>
        </w:rPr>
      </w:pPr>
    </w:p>
    <w:p w14:paraId="67E11E3E" w14:textId="544DCD28" w:rsidR="001175EA" w:rsidRDefault="001175EA">
      <w:pPr>
        <w:rPr>
          <w:rFonts w:ascii="Segoe UI" w:eastAsia="Times New Roman" w:hAnsi="Segoe UI" w:cs="Segoe UI"/>
          <w:sz w:val="18"/>
          <w:szCs w:val="18"/>
          <w:lang w:eastAsia="en-GB"/>
        </w:rPr>
      </w:pPr>
      <w:r>
        <w:rPr>
          <w:rFonts w:ascii="Segoe UI" w:eastAsia="Times New Roman" w:hAnsi="Segoe UI" w:cs="Segoe UI"/>
          <w:sz w:val="18"/>
          <w:szCs w:val="18"/>
          <w:lang w:eastAsia="en-GB"/>
        </w:rPr>
        <w:br w:type="page"/>
      </w:r>
    </w:p>
    <w:p w14:paraId="0894775F" w14:textId="013BE8F1" w:rsidR="00DE5731" w:rsidRPr="00847742" w:rsidRDefault="00DE5731" w:rsidP="00C543E3">
      <w:pPr>
        <w:pStyle w:val="Heading1"/>
        <w:rPr>
          <w:rFonts w:eastAsia="Calibri"/>
          <w:lang w:eastAsia="en-GB"/>
        </w:rPr>
      </w:pPr>
      <w:bookmarkStart w:id="0" w:name="_Toc66103594"/>
      <w:r w:rsidRPr="00847742">
        <w:rPr>
          <w:rFonts w:eastAsia="Arial"/>
          <w:lang w:eastAsia="en-GB"/>
        </w:rPr>
        <w:lastRenderedPageBreak/>
        <w:t>Introduction</w:t>
      </w:r>
      <w:bookmarkEnd w:id="0"/>
    </w:p>
    <w:p w14:paraId="42B42BE3" w14:textId="36691E12" w:rsidR="00DE5731" w:rsidRPr="00847742" w:rsidRDefault="00DE5731" w:rsidP="00AE5F6B">
      <w:pPr>
        <w:spacing w:before="60" w:after="60" w:line="254" w:lineRule="auto"/>
        <w:ind w:left="10" w:hanging="10"/>
        <w:rPr>
          <w:rFonts w:ascii="Arial" w:eastAsia="Calibri" w:hAnsi="Arial" w:cs="Arial"/>
          <w:color w:val="000000"/>
          <w:sz w:val="24"/>
          <w:szCs w:val="24"/>
          <w:lang w:eastAsia="en-GB"/>
        </w:rPr>
      </w:pPr>
    </w:p>
    <w:p w14:paraId="2396ED9E" w14:textId="0F9152E1" w:rsidR="00136C4F" w:rsidRPr="0050070B" w:rsidRDefault="00DE5731" w:rsidP="0050070B">
      <w:pPr>
        <w:spacing w:before="60" w:after="60" w:line="254" w:lineRule="auto"/>
        <w:jc w:val="both"/>
        <w:rPr>
          <w:rFonts w:ascii="Arial" w:eastAsia="Arial" w:hAnsi="Arial" w:cs="Arial"/>
          <w:color w:val="000000"/>
          <w:sz w:val="24"/>
          <w:szCs w:val="24"/>
          <w:lang w:eastAsia="en-GB"/>
        </w:rPr>
      </w:pPr>
      <w:r w:rsidRPr="0050070B">
        <w:rPr>
          <w:rFonts w:ascii="Arial" w:eastAsia="Arial" w:hAnsi="Arial" w:cs="Arial"/>
          <w:color w:val="000000"/>
          <w:sz w:val="24"/>
          <w:szCs w:val="24"/>
          <w:lang w:eastAsia="en-GB"/>
        </w:rPr>
        <w:t xml:space="preserve">This Service Level Agreement (SLA) acts as a contract between NHS Grampian and the pharmacy contractor and commits the contractor to provide the services as defined by the current supporting documentation which must be read in conjunction with this </w:t>
      </w:r>
      <w:r w:rsidR="00136C4F" w:rsidRPr="0050070B">
        <w:rPr>
          <w:rFonts w:ascii="Arial" w:eastAsia="Arial" w:hAnsi="Arial" w:cs="Arial"/>
          <w:color w:val="000000"/>
          <w:sz w:val="24"/>
          <w:szCs w:val="24"/>
          <w:lang w:eastAsia="en-GB"/>
        </w:rPr>
        <w:t>SLA</w:t>
      </w:r>
      <w:r w:rsidRPr="0050070B">
        <w:rPr>
          <w:rFonts w:ascii="Arial" w:eastAsia="Arial" w:hAnsi="Arial" w:cs="Arial"/>
          <w:color w:val="000000"/>
          <w:sz w:val="24"/>
          <w:szCs w:val="24"/>
          <w:lang w:eastAsia="en-GB"/>
        </w:rPr>
        <w:t xml:space="preserve">. </w:t>
      </w:r>
    </w:p>
    <w:p w14:paraId="326E1773" w14:textId="5C39CB1F" w:rsidR="00136C4F" w:rsidRPr="0050070B" w:rsidRDefault="00136C4F" w:rsidP="0050070B">
      <w:pPr>
        <w:spacing w:before="60" w:after="60" w:line="254" w:lineRule="auto"/>
        <w:jc w:val="both"/>
        <w:rPr>
          <w:rFonts w:ascii="Arial" w:eastAsia="Arial" w:hAnsi="Arial" w:cs="Arial"/>
          <w:color w:val="000000"/>
          <w:sz w:val="24"/>
          <w:szCs w:val="24"/>
          <w:lang w:eastAsia="en-GB"/>
        </w:rPr>
      </w:pPr>
      <w:r w:rsidRPr="0050070B">
        <w:rPr>
          <w:rFonts w:ascii="Arial" w:eastAsia="Arial" w:hAnsi="Arial" w:cs="Arial"/>
          <w:color w:val="000000"/>
          <w:sz w:val="24"/>
          <w:szCs w:val="24"/>
          <w:lang w:eastAsia="en-GB"/>
        </w:rPr>
        <w:t xml:space="preserve">Naloxone supply is mandatory for those pharmacies signed up to deliver Level 1 Substance Misuse Service from Community Pharmacy. </w:t>
      </w:r>
    </w:p>
    <w:p w14:paraId="15047C08" w14:textId="79B35D05" w:rsidR="00DE5731" w:rsidRPr="0050070B" w:rsidRDefault="00DE5731" w:rsidP="0050070B">
      <w:pPr>
        <w:spacing w:before="60" w:after="60" w:line="254" w:lineRule="auto"/>
        <w:jc w:val="both"/>
        <w:rPr>
          <w:rFonts w:ascii="Arial" w:eastAsia="Arial" w:hAnsi="Arial" w:cs="Arial"/>
          <w:color w:val="000000"/>
          <w:sz w:val="24"/>
          <w:szCs w:val="24"/>
          <w:lang w:eastAsia="en-GB"/>
        </w:rPr>
      </w:pPr>
      <w:r w:rsidRPr="0050070B">
        <w:rPr>
          <w:rFonts w:ascii="Arial" w:eastAsia="Arial" w:hAnsi="Arial" w:cs="Arial"/>
          <w:color w:val="000000"/>
          <w:sz w:val="24"/>
          <w:szCs w:val="24"/>
          <w:lang w:eastAsia="en-GB"/>
        </w:rPr>
        <w:t xml:space="preserve">Staff should have completed </w:t>
      </w:r>
      <w:r w:rsidR="00847742" w:rsidRPr="0050070B">
        <w:rPr>
          <w:rFonts w:ascii="Arial" w:eastAsia="Arial" w:hAnsi="Arial" w:cs="Arial"/>
          <w:color w:val="000000"/>
          <w:sz w:val="24"/>
          <w:szCs w:val="24"/>
          <w:lang w:eastAsia="en-GB"/>
        </w:rPr>
        <w:t xml:space="preserve">the </w:t>
      </w:r>
      <w:r w:rsidRPr="0050070B">
        <w:rPr>
          <w:rFonts w:ascii="Arial" w:eastAsia="Arial" w:hAnsi="Arial" w:cs="Arial"/>
          <w:color w:val="000000"/>
          <w:sz w:val="24"/>
          <w:szCs w:val="24"/>
          <w:lang w:eastAsia="en-GB"/>
        </w:rPr>
        <w:t xml:space="preserve">approved naloxone training </w:t>
      </w:r>
      <w:r w:rsidR="00C162AC" w:rsidRPr="0050070B">
        <w:rPr>
          <w:rFonts w:ascii="Arial" w:eastAsia="Arial" w:hAnsi="Arial" w:cs="Arial"/>
          <w:color w:val="000000"/>
          <w:sz w:val="24"/>
          <w:szCs w:val="24"/>
          <w:lang w:eastAsia="en-GB"/>
        </w:rPr>
        <w:t xml:space="preserve">(section 5) </w:t>
      </w:r>
      <w:r w:rsidRPr="0050070B">
        <w:rPr>
          <w:rFonts w:ascii="Arial" w:eastAsia="Arial" w:hAnsi="Arial" w:cs="Arial"/>
          <w:color w:val="000000"/>
          <w:sz w:val="24"/>
          <w:szCs w:val="24"/>
          <w:lang w:eastAsia="en-GB"/>
        </w:rPr>
        <w:t xml:space="preserve">prior to signing up to this SLA. Services will be provided within the legal and ethical framework of pharmacy as a whole.  </w:t>
      </w:r>
    </w:p>
    <w:p w14:paraId="68170D34" w14:textId="17803F46" w:rsidR="00DE5731" w:rsidRDefault="00DE5731" w:rsidP="0050070B">
      <w:pPr>
        <w:spacing w:before="60" w:after="60" w:line="254" w:lineRule="auto"/>
        <w:jc w:val="both"/>
        <w:rPr>
          <w:rFonts w:ascii="Arial" w:eastAsia="Calibri" w:hAnsi="Arial" w:cs="Arial"/>
          <w:color w:val="000000"/>
          <w:sz w:val="24"/>
          <w:szCs w:val="24"/>
          <w:lang w:eastAsia="en-GB"/>
        </w:rPr>
      </w:pPr>
      <w:r w:rsidRPr="0050070B">
        <w:rPr>
          <w:rFonts w:ascii="Arial" w:eastAsia="Calibri" w:hAnsi="Arial" w:cs="Arial"/>
          <w:color w:val="000000"/>
          <w:sz w:val="24"/>
          <w:szCs w:val="24"/>
          <w:lang w:eastAsia="en-GB"/>
        </w:rPr>
        <w:t xml:space="preserve">A three months’ notice period must be provided if either party wishes to terminate this contract. Where a breach in terms of the SLA has occurred the 3 month notice period may not apply. </w:t>
      </w:r>
    </w:p>
    <w:p w14:paraId="7219B5CD" w14:textId="30324C90" w:rsidR="00DE6D0A" w:rsidRPr="0050070B" w:rsidRDefault="00DE6D0A" w:rsidP="0050070B">
      <w:pPr>
        <w:spacing w:before="60" w:after="60" w:line="254"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Please note “holding a supply in the pharmacy and emergency supply” of Naloxone is covered by </w:t>
      </w:r>
      <w:r w:rsidRPr="00DE6D0A">
        <w:rPr>
          <w:rStyle w:val="Hyperlink"/>
          <w:rFonts w:ascii="Arial" w:eastAsia="Calibri" w:hAnsi="Arial" w:cs="Arial"/>
          <w:sz w:val="24"/>
          <w:szCs w:val="24"/>
          <w:lang w:eastAsia="en-GB"/>
        </w:rPr>
        <w:t>community pharmacy Public Health Service</w:t>
      </w:r>
      <w:r>
        <w:rPr>
          <w:rFonts w:ascii="Arial" w:eastAsia="Calibri" w:hAnsi="Arial" w:cs="Arial"/>
          <w:color w:val="000000"/>
          <w:sz w:val="24"/>
          <w:szCs w:val="24"/>
          <w:lang w:eastAsia="en-GB"/>
        </w:rPr>
        <w:t xml:space="preserve"> as part of National service for all pharmacies</w:t>
      </w:r>
    </w:p>
    <w:p w14:paraId="57627CF9" w14:textId="11EE82BB" w:rsidR="00DE5731" w:rsidRPr="00847742" w:rsidRDefault="00DE5731" w:rsidP="001175EA">
      <w:pPr>
        <w:spacing w:after="0" w:line="240" w:lineRule="auto"/>
        <w:ind w:left="11" w:hanging="11"/>
        <w:rPr>
          <w:rFonts w:ascii="Arial" w:eastAsia="Calibri" w:hAnsi="Arial" w:cs="Arial"/>
          <w:color w:val="000000"/>
          <w:sz w:val="24"/>
          <w:szCs w:val="24"/>
          <w:lang w:eastAsia="en-GB"/>
        </w:rPr>
      </w:pPr>
    </w:p>
    <w:p w14:paraId="78614AAC" w14:textId="635F718B" w:rsidR="00DE5731" w:rsidRPr="00847742" w:rsidRDefault="00DE5731" w:rsidP="00C543E3">
      <w:pPr>
        <w:pStyle w:val="Heading1"/>
        <w:rPr>
          <w:rFonts w:eastAsia="Arial"/>
          <w:lang w:eastAsia="en-GB"/>
        </w:rPr>
      </w:pPr>
      <w:bookmarkStart w:id="1" w:name="_Toc66103595"/>
      <w:r w:rsidRPr="00847742">
        <w:rPr>
          <w:rFonts w:eastAsia="Arial"/>
          <w:lang w:eastAsia="en-GB"/>
        </w:rPr>
        <w:t>Background to service</w:t>
      </w:r>
      <w:bookmarkEnd w:id="1"/>
      <w:r w:rsidRPr="00847742">
        <w:rPr>
          <w:rFonts w:eastAsia="Arial"/>
          <w:lang w:eastAsia="en-GB"/>
        </w:rPr>
        <w:t xml:space="preserve">  </w:t>
      </w:r>
    </w:p>
    <w:p w14:paraId="683232E6" w14:textId="77777777" w:rsidR="00AE5F6B" w:rsidRPr="00847742" w:rsidRDefault="00AE5F6B" w:rsidP="00AE5F6B">
      <w:pPr>
        <w:spacing w:before="60" w:after="60" w:line="254" w:lineRule="auto"/>
        <w:ind w:left="10" w:hanging="10"/>
        <w:rPr>
          <w:rFonts w:ascii="Arial" w:eastAsia="Calibri" w:hAnsi="Arial" w:cs="Arial"/>
          <w:color w:val="000000"/>
          <w:sz w:val="24"/>
          <w:szCs w:val="24"/>
          <w:lang w:eastAsia="en-GB"/>
        </w:rPr>
      </w:pPr>
    </w:p>
    <w:p w14:paraId="477AB01B" w14:textId="76A79D40" w:rsidR="00DE5731" w:rsidRPr="00847742" w:rsidRDefault="00DE5731" w:rsidP="001175EA">
      <w:pPr>
        <w:spacing w:before="60" w:after="60" w:line="254" w:lineRule="auto"/>
        <w:jc w:val="both"/>
        <w:rPr>
          <w:rFonts w:ascii="Arial" w:eastAsia="Arial" w:hAnsi="Arial" w:cs="Arial"/>
          <w:color w:val="000000"/>
          <w:sz w:val="24"/>
          <w:szCs w:val="24"/>
          <w:lang w:eastAsia="en-GB"/>
        </w:rPr>
      </w:pPr>
      <w:r w:rsidRPr="00847742">
        <w:rPr>
          <w:rFonts w:ascii="Arial" w:eastAsia="Arial" w:hAnsi="Arial" w:cs="Arial"/>
          <w:color w:val="000000"/>
          <w:sz w:val="24"/>
          <w:szCs w:val="24"/>
          <w:lang w:eastAsia="en-GB"/>
        </w:rPr>
        <w:t>In 20</w:t>
      </w:r>
      <w:r w:rsidR="00E94536">
        <w:rPr>
          <w:rFonts w:ascii="Arial" w:eastAsia="Arial" w:hAnsi="Arial" w:cs="Arial"/>
          <w:color w:val="000000"/>
          <w:sz w:val="24"/>
          <w:szCs w:val="24"/>
          <w:lang w:eastAsia="en-GB"/>
        </w:rPr>
        <w:t>22</w:t>
      </w:r>
      <w:r w:rsidRPr="00847742">
        <w:rPr>
          <w:rFonts w:ascii="Arial" w:eastAsia="Arial" w:hAnsi="Arial" w:cs="Arial"/>
          <w:color w:val="000000"/>
          <w:sz w:val="24"/>
          <w:szCs w:val="24"/>
          <w:lang w:eastAsia="en-GB"/>
        </w:rPr>
        <w:t xml:space="preserve"> </w:t>
      </w:r>
      <w:hyperlink r:id="rId8" w:history="1">
        <w:r w:rsidRPr="00605F83">
          <w:rPr>
            <w:rStyle w:val="Hyperlink"/>
            <w:rFonts w:ascii="Arial" w:eastAsia="Arial" w:hAnsi="Arial" w:cs="Arial"/>
            <w:sz w:val="24"/>
            <w:szCs w:val="24"/>
            <w:lang w:eastAsia="en-GB"/>
          </w:rPr>
          <w:t>1,</w:t>
        </w:r>
        <w:r w:rsidR="00E94536">
          <w:rPr>
            <w:rStyle w:val="Hyperlink"/>
            <w:rFonts w:ascii="Arial" w:eastAsia="Arial" w:hAnsi="Arial" w:cs="Arial"/>
            <w:sz w:val="24"/>
            <w:szCs w:val="24"/>
            <w:lang w:eastAsia="en-GB"/>
          </w:rPr>
          <w:t>051</w:t>
        </w:r>
        <w:r w:rsidRPr="00605F83">
          <w:rPr>
            <w:rStyle w:val="Hyperlink"/>
            <w:rFonts w:ascii="Arial" w:eastAsia="Arial" w:hAnsi="Arial" w:cs="Arial"/>
            <w:sz w:val="24"/>
            <w:szCs w:val="24"/>
            <w:lang w:eastAsia="en-GB"/>
          </w:rPr>
          <w:t xml:space="preserve"> people </w:t>
        </w:r>
        <w:r w:rsidR="00136C4F">
          <w:rPr>
            <w:rStyle w:val="Hyperlink"/>
            <w:rFonts w:ascii="Arial" w:eastAsia="Arial" w:hAnsi="Arial" w:cs="Arial"/>
            <w:sz w:val="24"/>
            <w:szCs w:val="24"/>
            <w:lang w:eastAsia="en-GB"/>
          </w:rPr>
          <w:t xml:space="preserve">in Scotland </w:t>
        </w:r>
        <w:r w:rsidRPr="00605F83">
          <w:rPr>
            <w:rStyle w:val="Hyperlink"/>
            <w:rFonts w:ascii="Arial" w:eastAsia="Arial" w:hAnsi="Arial" w:cs="Arial"/>
            <w:sz w:val="24"/>
            <w:szCs w:val="24"/>
            <w:lang w:eastAsia="en-GB"/>
          </w:rPr>
          <w:t>lost their lives</w:t>
        </w:r>
      </w:hyperlink>
      <w:r w:rsidRPr="00847742">
        <w:rPr>
          <w:rFonts w:ascii="Arial" w:eastAsia="Arial" w:hAnsi="Arial" w:cs="Arial"/>
          <w:color w:val="000000"/>
          <w:sz w:val="24"/>
          <w:szCs w:val="24"/>
          <w:lang w:eastAsia="en-GB"/>
        </w:rPr>
        <w:t xml:space="preserve"> as a result of a drug related death.</w:t>
      </w:r>
      <w:r w:rsidR="00C162AC">
        <w:rPr>
          <w:rFonts w:ascii="Arial" w:eastAsia="Arial" w:hAnsi="Arial" w:cs="Arial"/>
          <w:color w:val="000000"/>
          <w:sz w:val="24"/>
          <w:szCs w:val="24"/>
          <w:lang w:eastAsia="en-GB"/>
        </w:rPr>
        <w:t xml:space="preserve">  This </w:t>
      </w:r>
      <w:r w:rsidR="00605F83">
        <w:rPr>
          <w:rFonts w:ascii="Arial" w:eastAsia="Arial" w:hAnsi="Arial" w:cs="Arial"/>
          <w:color w:val="000000"/>
          <w:sz w:val="24"/>
          <w:szCs w:val="24"/>
          <w:lang w:eastAsia="en-GB"/>
        </w:rPr>
        <w:t>has more than doubled since</w:t>
      </w:r>
      <w:r w:rsidR="00C162AC">
        <w:rPr>
          <w:rFonts w:ascii="Arial" w:eastAsia="Arial" w:hAnsi="Arial" w:cs="Arial"/>
          <w:color w:val="000000"/>
          <w:sz w:val="24"/>
          <w:szCs w:val="24"/>
          <w:lang w:eastAsia="en-GB"/>
        </w:rPr>
        <w:t xml:space="preserve"> 2014.</w:t>
      </w:r>
      <w:r w:rsidRPr="00847742">
        <w:rPr>
          <w:rFonts w:ascii="Arial" w:eastAsia="Arial" w:hAnsi="Arial" w:cs="Arial"/>
          <w:color w:val="000000"/>
          <w:sz w:val="24"/>
          <w:szCs w:val="24"/>
          <w:lang w:eastAsia="en-GB"/>
        </w:rPr>
        <w:t xml:space="preserve">  </w:t>
      </w:r>
      <w:r w:rsidR="00E94536">
        <w:rPr>
          <w:rFonts w:ascii="Arial" w:eastAsia="Arial" w:hAnsi="Arial" w:cs="Arial"/>
          <w:color w:val="000000"/>
          <w:sz w:val="24"/>
          <w:szCs w:val="24"/>
          <w:lang w:eastAsia="en-GB"/>
        </w:rPr>
        <w:t>75</w:t>
      </w:r>
      <w:r w:rsidRPr="00847742">
        <w:rPr>
          <w:rFonts w:ascii="Arial" w:eastAsia="Arial" w:hAnsi="Arial" w:cs="Arial"/>
          <w:color w:val="000000"/>
          <w:sz w:val="24"/>
          <w:szCs w:val="24"/>
          <w:lang w:eastAsia="en-GB"/>
        </w:rPr>
        <w:t xml:space="preserve"> of these deaths were in Grampian</w:t>
      </w:r>
      <w:r w:rsidR="005D1C01">
        <w:rPr>
          <w:rFonts w:ascii="Arial" w:eastAsia="Arial" w:hAnsi="Arial" w:cs="Arial"/>
          <w:color w:val="000000"/>
          <w:sz w:val="24"/>
          <w:szCs w:val="24"/>
          <w:lang w:eastAsia="en-GB"/>
        </w:rPr>
        <w:t>,</w:t>
      </w:r>
      <w:r w:rsidRPr="00847742">
        <w:rPr>
          <w:rFonts w:ascii="Arial" w:eastAsia="Arial" w:hAnsi="Arial" w:cs="Arial"/>
          <w:color w:val="000000"/>
          <w:sz w:val="24"/>
          <w:szCs w:val="24"/>
          <w:lang w:eastAsia="en-GB"/>
        </w:rPr>
        <w:t xml:space="preserve"> </w:t>
      </w:r>
      <w:r w:rsidR="00E94536">
        <w:rPr>
          <w:rFonts w:ascii="Arial" w:eastAsia="Arial" w:hAnsi="Arial" w:cs="Arial"/>
          <w:color w:val="000000"/>
          <w:sz w:val="24"/>
          <w:szCs w:val="24"/>
          <w:lang w:eastAsia="en-GB"/>
        </w:rPr>
        <w:t>5</w:t>
      </w:r>
      <w:r w:rsidR="00C162AC">
        <w:rPr>
          <w:rFonts w:ascii="Arial" w:eastAsia="Arial" w:hAnsi="Arial" w:cs="Arial"/>
          <w:color w:val="000000"/>
          <w:sz w:val="24"/>
          <w:szCs w:val="24"/>
          <w:lang w:eastAsia="en-GB"/>
        </w:rPr>
        <w:t>8</w:t>
      </w:r>
      <w:r w:rsidRPr="00847742">
        <w:rPr>
          <w:rFonts w:ascii="Arial" w:eastAsia="Arial" w:hAnsi="Arial" w:cs="Arial"/>
          <w:color w:val="000000"/>
          <w:sz w:val="24"/>
          <w:szCs w:val="24"/>
          <w:lang w:eastAsia="en-GB"/>
        </w:rPr>
        <w:t xml:space="preserve"> </w:t>
      </w:r>
      <w:r w:rsidR="005D1C01">
        <w:rPr>
          <w:rFonts w:ascii="Arial" w:eastAsia="Arial" w:hAnsi="Arial" w:cs="Arial"/>
          <w:color w:val="000000"/>
          <w:sz w:val="24"/>
          <w:szCs w:val="24"/>
          <w:lang w:eastAsia="en-GB"/>
        </w:rPr>
        <w:t xml:space="preserve">of whom </w:t>
      </w:r>
      <w:r w:rsidRPr="00847742">
        <w:rPr>
          <w:rFonts w:ascii="Arial" w:eastAsia="Arial" w:hAnsi="Arial" w:cs="Arial"/>
          <w:color w:val="000000"/>
          <w:sz w:val="24"/>
          <w:szCs w:val="24"/>
          <w:lang w:eastAsia="en-GB"/>
        </w:rPr>
        <w:t xml:space="preserve">had opioids in their system which means that, if naloxone had been available, some of these </w:t>
      </w:r>
      <w:r w:rsidR="00136C4F">
        <w:rPr>
          <w:rFonts w:ascii="Arial" w:eastAsia="Arial" w:hAnsi="Arial" w:cs="Arial"/>
          <w:color w:val="000000"/>
          <w:sz w:val="24"/>
          <w:szCs w:val="24"/>
          <w:lang w:eastAsia="en-GB"/>
        </w:rPr>
        <w:t>lives</w:t>
      </w:r>
      <w:r w:rsidRPr="00847742">
        <w:rPr>
          <w:rFonts w:ascii="Arial" w:eastAsia="Arial" w:hAnsi="Arial" w:cs="Arial"/>
          <w:color w:val="000000"/>
          <w:sz w:val="24"/>
          <w:szCs w:val="24"/>
          <w:lang w:eastAsia="en-GB"/>
        </w:rPr>
        <w:t xml:space="preserve"> could have been saved.</w:t>
      </w:r>
    </w:p>
    <w:p w14:paraId="48C2CCF5" w14:textId="77777777" w:rsidR="00DE5731" w:rsidRPr="00847742" w:rsidRDefault="00DE5731" w:rsidP="001175EA">
      <w:pPr>
        <w:spacing w:before="60" w:after="60" w:line="254" w:lineRule="auto"/>
        <w:jc w:val="both"/>
        <w:rPr>
          <w:rFonts w:ascii="Arial" w:eastAsia="Calibri" w:hAnsi="Arial" w:cs="Arial"/>
          <w:color w:val="000000"/>
          <w:sz w:val="24"/>
          <w:szCs w:val="24"/>
          <w:lang w:eastAsia="en-GB"/>
        </w:rPr>
      </w:pPr>
    </w:p>
    <w:p w14:paraId="485980A5" w14:textId="1E563C7B" w:rsidR="00847742" w:rsidRDefault="00DE5731" w:rsidP="001175EA">
      <w:pPr>
        <w:spacing w:before="60" w:after="60" w:line="254" w:lineRule="auto"/>
        <w:jc w:val="both"/>
        <w:rPr>
          <w:rFonts w:ascii="Arial" w:eastAsia="Arial" w:hAnsi="Arial" w:cs="Arial"/>
          <w:color w:val="000000"/>
          <w:sz w:val="24"/>
          <w:szCs w:val="24"/>
          <w:lang w:eastAsia="en-GB"/>
        </w:rPr>
      </w:pPr>
      <w:r w:rsidRPr="00847742">
        <w:rPr>
          <w:rFonts w:ascii="Arial" w:eastAsia="Arial" w:hAnsi="Arial" w:cs="Arial"/>
          <w:color w:val="000000"/>
          <w:sz w:val="24"/>
          <w:szCs w:val="24"/>
          <w:lang w:eastAsia="en-GB"/>
        </w:rPr>
        <w:t xml:space="preserve">Naloxone is a medication which can temporarily reverse the effects of opioid drugs.  The Scottish Naloxone Take Home Programme aims to </w:t>
      </w:r>
      <w:r w:rsidR="00847742">
        <w:rPr>
          <w:rFonts w:ascii="Arial" w:eastAsia="Arial" w:hAnsi="Arial" w:cs="Arial"/>
          <w:color w:val="000000"/>
          <w:sz w:val="24"/>
          <w:szCs w:val="24"/>
          <w:lang w:eastAsia="en-GB"/>
        </w:rPr>
        <w:t xml:space="preserve">supply to and </w:t>
      </w:r>
      <w:r w:rsidRPr="00847742">
        <w:rPr>
          <w:rFonts w:ascii="Arial" w:eastAsia="Arial" w:hAnsi="Arial" w:cs="Arial"/>
          <w:color w:val="000000"/>
          <w:sz w:val="24"/>
          <w:szCs w:val="24"/>
          <w:lang w:eastAsia="en-GB"/>
        </w:rPr>
        <w:t>train the following groups on how to identify and respond to o</w:t>
      </w:r>
      <w:r w:rsidR="00136C4F">
        <w:rPr>
          <w:rFonts w:ascii="Arial" w:eastAsia="Arial" w:hAnsi="Arial" w:cs="Arial"/>
          <w:color w:val="000000"/>
          <w:sz w:val="24"/>
          <w:szCs w:val="24"/>
          <w:lang w:eastAsia="en-GB"/>
        </w:rPr>
        <w:t>verdose and administer naloxone:</w:t>
      </w:r>
      <w:r w:rsidRPr="00847742">
        <w:rPr>
          <w:rFonts w:ascii="Arial" w:eastAsia="Arial" w:hAnsi="Arial" w:cs="Arial"/>
          <w:color w:val="000000"/>
          <w:sz w:val="24"/>
          <w:szCs w:val="24"/>
          <w:lang w:eastAsia="en-GB"/>
        </w:rPr>
        <w:t xml:space="preserve">  </w:t>
      </w:r>
    </w:p>
    <w:p w14:paraId="7B7BDEE4" w14:textId="2CA91AAD" w:rsidR="00DE5731" w:rsidRPr="00847742" w:rsidRDefault="00DE5731" w:rsidP="001175EA">
      <w:pPr>
        <w:numPr>
          <w:ilvl w:val="0"/>
          <w:numId w:val="11"/>
        </w:numPr>
        <w:spacing w:before="60" w:after="60" w:line="254" w:lineRule="auto"/>
        <w:ind w:left="360"/>
        <w:contextualSpacing/>
        <w:jc w:val="both"/>
        <w:rPr>
          <w:rFonts w:ascii="Arial" w:eastAsia="Arial" w:hAnsi="Arial" w:cs="Arial"/>
          <w:color w:val="000000"/>
          <w:sz w:val="24"/>
          <w:szCs w:val="24"/>
          <w:lang w:eastAsia="en-GB"/>
        </w:rPr>
      </w:pPr>
      <w:r w:rsidRPr="00847742">
        <w:rPr>
          <w:rFonts w:ascii="Arial" w:eastAsia="Arial" w:hAnsi="Arial" w:cs="Arial"/>
          <w:color w:val="000000"/>
          <w:sz w:val="24"/>
          <w:szCs w:val="24"/>
          <w:lang w:eastAsia="en-GB"/>
        </w:rPr>
        <w:t xml:space="preserve">people at risk of opioid overdose </w:t>
      </w:r>
    </w:p>
    <w:p w14:paraId="5A22C065" w14:textId="77777777" w:rsidR="00DE5731" w:rsidRPr="00847742" w:rsidRDefault="00DE5731" w:rsidP="001175EA">
      <w:pPr>
        <w:numPr>
          <w:ilvl w:val="0"/>
          <w:numId w:val="11"/>
        </w:numPr>
        <w:spacing w:before="60" w:after="60" w:line="254" w:lineRule="auto"/>
        <w:ind w:left="360"/>
        <w:contextualSpacing/>
        <w:jc w:val="both"/>
        <w:rPr>
          <w:rFonts w:ascii="Arial" w:eastAsia="Arial" w:hAnsi="Arial" w:cs="Arial"/>
          <w:color w:val="000000"/>
          <w:sz w:val="24"/>
          <w:szCs w:val="24"/>
          <w:lang w:eastAsia="en-GB"/>
        </w:rPr>
      </w:pPr>
      <w:r w:rsidRPr="00847742">
        <w:rPr>
          <w:rFonts w:ascii="Arial" w:eastAsia="Arial" w:hAnsi="Arial" w:cs="Arial"/>
          <w:color w:val="000000"/>
          <w:sz w:val="24"/>
          <w:szCs w:val="24"/>
          <w:lang w:eastAsia="en-GB"/>
        </w:rPr>
        <w:t>people in contact with those at risk (e.g. family members)</w:t>
      </w:r>
    </w:p>
    <w:p w14:paraId="023BCE5E" w14:textId="77777777" w:rsidR="00DE5731" w:rsidRPr="00847742" w:rsidRDefault="00DE5731" w:rsidP="001175EA">
      <w:pPr>
        <w:numPr>
          <w:ilvl w:val="0"/>
          <w:numId w:val="11"/>
        </w:numPr>
        <w:spacing w:before="60" w:after="60" w:line="254" w:lineRule="auto"/>
        <w:ind w:left="360"/>
        <w:contextualSpacing/>
        <w:jc w:val="both"/>
        <w:rPr>
          <w:rFonts w:ascii="Arial" w:eastAsia="Arial" w:hAnsi="Arial" w:cs="Arial"/>
          <w:color w:val="000000"/>
          <w:sz w:val="24"/>
          <w:szCs w:val="24"/>
          <w:lang w:eastAsia="en-GB"/>
        </w:rPr>
      </w:pPr>
      <w:r w:rsidRPr="00847742">
        <w:rPr>
          <w:rFonts w:ascii="Arial" w:eastAsia="Arial" w:hAnsi="Arial" w:cs="Arial"/>
          <w:color w:val="000000"/>
          <w:sz w:val="24"/>
          <w:szCs w:val="24"/>
          <w:lang w:eastAsia="en-GB"/>
        </w:rPr>
        <w:t>services in contact with those at risk of opioid overdose</w:t>
      </w:r>
    </w:p>
    <w:p w14:paraId="4B68A04C" w14:textId="77777777" w:rsidR="00DE5731" w:rsidRPr="00847742" w:rsidRDefault="00DE5731" w:rsidP="001175EA">
      <w:pPr>
        <w:spacing w:before="60" w:after="60" w:line="254" w:lineRule="auto"/>
        <w:ind w:left="780"/>
        <w:contextualSpacing/>
        <w:jc w:val="both"/>
        <w:rPr>
          <w:rFonts w:ascii="Arial" w:eastAsia="Arial" w:hAnsi="Arial" w:cs="Arial"/>
          <w:color w:val="000000"/>
          <w:sz w:val="24"/>
          <w:szCs w:val="24"/>
          <w:lang w:eastAsia="en-GB"/>
        </w:rPr>
      </w:pPr>
    </w:p>
    <w:p w14:paraId="0084322F" w14:textId="380114E9" w:rsidR="00AE5F6B" w:rsidRPr="00847742" w:rsidRDefault="00DE5731" w:rsidP="001175EA">
      <w:pPr>
        <w:spacing w:before="60" w:after="60" w:line="254" w:lineRule="auto"/>
        <w:ind w:left="10" w:hanging="10"/>
        <w:jc w:val="both"/>
        <w:rPr>
          <w:rFonts w:ascii="Arial" w:eastAsia="Calibri" w:hAnsi="Arial" w:cs="Arial"/>
          <w:color w:val="000000"/>
          <w:sz w:val="24"/>
          <w:szCs w:val="24"/>
          <w:lang w:eastAsia="en-GB"/>
        </w:rPr>
      </w:pPr>
      <w:r w:rsidRPr="00847742">
        <w:rPr>
          <w:rFonts w:ascii="Arial" w:eastAsia="Calibri" w:hAnsi="Arial" w:cs="Arial"/>
          <w:color w:val="000000"/>
          <w:sz w:val="24"/>
          <w:szCs w:val="24"/>
          <w:lang w:eastAsia="en-GB"/>
        </w:rPr>
        <w:t xml:space="preserve">Opioid overdose may be a risk for people prescribed opioid medications for any indication including pain or opioid dependence and/or addiction.  Professionals should assess this risk and make naloxone available regardless of the indication. </w:t>
      </w:r>
    </w:p>
    <w:p w14:paraId="214DC48A" w14:textId="6A85F7C2" w:rsidR="00DE5731" w:rsidRPr="00847742" w:rsidRDefault="00DE5731" w:rsidP="001175EA">
      <w:pPr>
        <w:spacing w:before="60" w:after="60" w:line="254" w:lineRule="auto"/>
        <w:ind w:left="10" w:hanging="10"/>
        <w:jc w:val="both"/>
        <w:rPr>
          <w:rFonts w:ascii="Arial" w:eastAsia="Calibri" w:hAnsi="Arial" w:cs="Arial"/>
          <w:color w:val="000000"/>
          <w:sz w:val="24"/>
          <w:szCs w:val="24"/>
          <w:lang w:eastAsia="en-GB"/>
        </w:rPr>
      </w:pPr>
      <w:r w:rsidRPr="00847742">
        <w:rPr>
          <w:rFonts w:ascii="Arial" w:eastAsia="Calibri" w:hAnsi="Arial" w:cs="Arial"/>
          <w:color w:val="000000" w:themeColor="text1"/>
          <w:sz w:val="24"/>
          <w:szCs w:val="24"/>
          <w:lang w:eastAsia="en-GB"/>
        </w:rPr>
        <w:t xml:space="preserve"> </w:t>
      </w:r>
    </w:p>
    <w:p w14:paraId="211ED707" w14:textId="0014C61E" w:rsidR="00DE5731" w:rsidRDefault="00DE5731" w:rsidP="001175EA">
      <w:pPr>
        <w:spacing w:before="60" w:after="60" w:line="254" w:lineRule="auto"/>
        <w:jc w:val="both"/>
        <w:rPr>
          <w:rFonts w:ascii="Arial" w:eastAsia="Arial" w:hAnsi="Arial" w:cs="Arial"/>
          <w:color w:val="000000"/>
          <w:sz w:val="24"/>
          <w:szCs w:val="24"/>
          <w:lang w:eastAsia="en-GB"/>
        </w:rPr>
      </w:pPr>
      <w:r w:rsidRPr="00847742">
        <w:rPr>
          <w:rFonts w:ascii="Arial" w:eastAsia="Arial" w:hAnsi="Arial" w:cs="Arial"/>
          <w:color w:val="000000" w:themeColor="text1"/>
          <w:sz w:val="24"/>
          <w:szCs w:val="24"/>
          <w:lang w:eastAsia="en-GB"/>
        </w:rPr>
        <w:t xml:space="preserve">This SLA </w:t>
      </w:r>
      <w:r w:rsidRPr="00847742">
        <w:rPr>
          <w:rFonts w:ascii="Arial" w:eastAsia="Arial" w:hAnsi="Arial" w:cs="Arial"/>
          <w:color w:val="000000"/>
          <w:sz w:val="24"/>
          <w:szCs w:val="24"/>
          <w:lang w:eastAsia="en-GB"/>
        </w:rPr>
        <w:t xml:space="preserve">shares the principles of the Level 1 </w:t>
      </w:r>
      <w:r w:rsidR="00ED57DD">
        <w:rPr>
          <w:rFonts w:ascii="Arial" w:eastAsia="Arial" w:hAnsi="Arial" w:cs="Arial"/>
          <w:color w:val="000000"/>
          <w:sz w:val="24"/>
          <w:szCs w:val="24"/>
          <w:lang w:eastAsia="en-GB"/>
        </w:rPr>
        <w:t xml:space="preserve">SMS </w:t>
      </w:r>
      <w:r w:rsidRPr="00847742">
        <w:rPr>
          <w:rFonts w:ascii="Arial" w:eastAsia="Arial" w:hAnsi="Arial" w:cs="Arial"/>
          <w:color w:val="000000"/>
          <w:sz w:val="24"/>
          <w:szCs w:val="24"/>
          <w:lang w:eastAsia="en-GB"/>
        </w:rPr>
        <w:t>service which outlines the recommended clinical support for delivery by community pharmacy contractors to people who use drugs and is supportive of NHS Grampian and Grampian Alcohol and Drug Partnerships’ goals to reduce harm and promote recovery.</w:t>
      </w:r>
    </w:p>
    <w:p w14:paraId="5F1B5C24" w14:textId="77777777" w:rsidR="008E32C8" w:rsidRPr="00847742" w:rsidRDefault="008E32C8" w:rsidP="001175EA">
      <w:pPr>
        <w:spacing w:before="60" w:after="60" w:line="254" w:lineRule="auto"/>
        <w:jc w:val="both"/>
        <w:rPr>
          <w:rFonts w:ascii="Arial" w:eastAsia="Calibri" w:hAnsi="Arial" w:cs="Arial"/>
          <w:color w:val="000000"/>
          <w:sz w:val="24"/>
          <w:szCs w:val="24"/>
          <w:lang w:eastAsia="en-GB"/>
        </w:rPr>
      </w:pPr>
    </w:p>
    <w:p w14:paraId="2883E03B" w14:textId="57FA1ACB" w:rsidR="00DE5731" w:rsidRPr="00847742" w:rsidRDefault="00DE5731" w:rsidP="00C543E3">
      <w:pPr>
        <w:pStyle w:val="Heading1"/>
        <w:rPr>
          <w:rFonts w:eastAsia="Calibri"/>
          <w:lang w:eastAsia="en-GB"/>
        </w:rPr>
      </w:pPr>
      <w:bookmarkStart w:id="2" w:name="_Toc66103596"/>
      <w:r w:rsidRPr="00847742">
        <w:rPr>
          <w:rFonts w:eastAsia="Arial"/>
          <w:lang w:eastAsia="en-GB"/>
        </w:rPr>
        <w:lastRenderedPageBreak/>
        <w:t>Service aims</w:t>
      </w:r>
      <w:bookmarkEnd w:id="2"/>
      <w:r w:rsidRPr="00847742">
        <w:rPr>
          <w:rFonts w:eastAsia="Arial"/>
          <w:lang w:eastAsia="en-GB"/>
        </w:rPr>
        <w:t xml:space="preserve">  </w:t>
      </w:r>
    </w:p>
    <w:p w14:paraId="663E0894" w14:textId="77777777" w:rsidR="00DE5731" w:rsidRPr="00847742" w:rsidRDefault="00DE5731" w:rsidP="001175EA">
      <w:pPr>
        <w:spacing w:before="60" w:after="60" w:line="254" w:lineRule="auto"/>
        <w:jc w:val="both"/>
        <w:rPr>
          <w:rFonts w:ascii="Arial" w:eastAsia="Calibri" w:hAnsi="Arial" w:cs="Arial"/>
          <w:color w:val="000000"/>
          <w:sz w:val="24"/>
          <w:szCs w:val="24"/>
          <w:lang w:eastAsia="en-GB"/>
        </w:rPr>
      </w:pPr>
      <w:r w:rsidRPr="00847742">
        <w:rPr>
          <w:rFonts w:ascii="Arial" w:eastAsia="Arial" w:hAnsi="Arial" w:cs="Arial"/>
          <w:color w:val="000000"/>
          <w:sz w:val="24"/>
          <w:szCs w:val="24"/>
          <w:lang w:eastAsia="en-GB"/>
        </w:rPr>
        <w:t xml:space="preserve"> The aims of the service are:  </w:t>
      </w:r>
    </w:p>
    <w:p w14:paraId="74DC0B1A" w14:textId="44456C5F" w:rsidR="00DE5731" w:rsidRPr="00957720" w:rsidRDefault="00DE5731" w:rsidP="001175EA">
      <w:pPr>
        <w:numPr>
          <w:ilvl w:val="0"/>
          <w:numId w:val="11"/>
        </w:numPr>
        <w:spacing w:before="60" w:after="60" w:line="254" w:lineRule="auto"/>
        <w:ind w:left="360"/>
        <w:contextualSpacing/>
        <w:jc w:val="both"/>
        <w:rPr>
          <w:rFonts w:ascii="Arial" w:eastAsia="Arial" w:hAnsi="Arial" w:cs="Arial"/>
          <w:color w:val="000000"/>
          <w:sz w:val="24"/>
          <w:szCs w:val="24"/>
          <w:lang w:eastAsia="en-GB"/>
        </w:rPr>
      </w:pPr>
      <w:r w:rsidRPr="00605F83">
        <w:rPr>
          <w:rFonts w:ascii="Arial" w:eastAsia="Arial" w:hAnsi="Arial" w:cs="Arial"/>
          <w:color w:val="000000"/>
          <w:sz w:val="24"/>
          <w:szCs w:val="24"/>
          <w:lang w:eastAsia="en-GB"/>
        </w:rPr>
        <w:t xml:space="preserve">To </w:t>
      </w:r>
      <w:r w:rsidR="008E32C8">
        <w:rPr>
          <w:rFonts w:ascii="Arial" w:eastAsia="Arial" w:hAnsi="Arial" w:cs="Arial"/>
          <w:color w:val="000000"/>
          <w:sz w:val="24"/>
          <w:szCs w:val="24"/>
          <w:lang w:eastAsia="en-GB"/>
        </w:rPr>
        <w:t>provide</w:t>
      </w:r>
      <w:r w:rsidR="00605F83" w:rsidRPr="00605F83">
        <w:rPr>
          <w:rFonts w:ascii="Arial" w:eastAsia="Arial" w:hAnsi="Arial" w:cs="Arial"/>
          <w:color w:val="000000"/>
          <w:sz w:val="24"/>
          <w:szCs w:val="24"/>
          <w:lang w:eastAsia="en-GB"/>
        </w:rPr>
        <w:t xml:space="preserve"> </w:t>
      </w:r>
      <w:r w:rsidR="00957720" w:rsidRPr="00605F83">
        <w:rPr>
          <w:rFonts w:ascii="Arial" w:eastAsia="Arial" w:hAnsi="Arial" w:cs="Arial"/>
          <w:color w:val="000000"/>
          <w:sz w:val="24"/>
          <w:szCs w:val="24"/>
          <w:lang w:eastAsia="en-GB"/>
        </w:rPr>
        <w:t>overdose a</w:t>
      </w:r>
      <w:r w:rsidR="00957720">
        <w:rPr>
          <w:rFonts w:ascii="Arial" w:eastAsia="Arial" w:hAnsi="Arial" w:cs="Arial"/>
          <w:color w:val="000000"/>
          <w:sz w:val="24"/>
          <w:szCs w:val="24"/>
          <w:lang w:eastAsia="en-GB"/>
        </w:rPr>
        <w:t xml:space="preserve">wareness and naloxone training to </w:t>
      </w:r>
      <w:r w:rsidRPr="00957720">
        <w:rPr>
          <w:rFonts w:ascii="Arial" w:eastAsia="Arial" w:hAnsi="Arial" w:cs="Arial"/>
          <w:color w:val="000000"/>
          <w:sz w:val="24"/>
          <w:szCs w:val="24"/>
          <w:lang w:eastAsia="en-GB"/>
        </w:rPr>
        <w:t>people</w:t>
      </w:r>
      <w:r w:rsidR="74B51205" w:rsidRPr="00957720">
        <w:rPr>
          <w:rFonts w:ascii="Arial" w:eastAsia="Arial" w:hAnsi="Arial" w:cs="Arial"/>
          <w:color w:val="000000"/>
          <w:sz w:val="24"/>
          <w:szCs w:val="24"/>
          <w:lang w:eastAsia="en-GB"/>
        </w:rPr>
        <w:t xml:space="preserve"> </w:t>
      </w:r>
      <w:r w:rsidRPr="00957720">
        <w:rPr>
          <w:rFonts w:ascii="Arial" w:eastAsia="Arial" w:hAnsi="Arial" w:cs="Arial"/>
          <w:color w:val="000000"/>
          <w:sz w:val="24"/>
          <w:szCs w:val="24"/>
          <w:lang w:eastAsia="en-GB"/>
        </w:rPr>
        <w:t>at risk of</w:t>
      </w:r>
      <w:r w:rsidR="0308F9A1" w:rsidRPr="00957720">
        <w:rPr>
          <w:rFonts w:ascii="Arial" w:eastAsia="Arial" w:hAnsi="Arial" w:cs="Arial"/>
          <w:color w:val="000000"/>
          <w:sz w:val="24"/>
          <w:szCs w:val="24"/>
          <w:lang w:eastAsia="en-GB"/>
        </w:rPr>
        <w:t>, or who are likely to witness,</w:t>
      </w:r>
      <w:r w:rsidRPr="00957720">
        <w:rPr>
          <w:rFonts w:ascii="Arial" w:eastAsia="Arial" w:hAnsi="Arial" w:cs="Arial"/>
          <w:color w:val="000000"/>
          <w:sz w:val="24"/>
          <w:szCs w:val="24"/>
          <w:lang w:eastAsia="en-GB"/>
        </w:rPr>
        <w:t xml:space="preserve"> opioid overdose </w:t>
      </w:r>
    </w:p>
    <w:p w14:paraId="4B555330" w14:textId="77777777" w:rsidR="00957720" w:rsidRDefault="00DE5731" w:rsidP="001175EA">
      <w:pPr>
        <w:numPr>
          <w:ilvl w:val="0"/>
          <w:numId w:val="11"/>
        </w:numPr>
        <w:spacing w:before="60" w:after="60" w:line="254" w:lineRule="auto"/>
        <w:ind w:left="360"/>
        <w:contextualSpacing/>
        <w:jc w:val="both"/>
        <w:rPr>
          <w:rFonts w:ascii="Arial" w:eastAsia="Arial" w:hAnsi="Arial" w:cs="Arial"/>
          <w:color w:val="000000"/>
          <w:sz w:val="24"/>
          <w:szCs w:val="24"/>
          <w:lang w:eastAsia="en-GB"/>
        </w:rPr>
      </w:pPr>
      <w:r w:rsidRPr="00605F83">
        <w:rPr>
          <w:rFonts w:ascii="Arial" w:eastAsia="Arial" w:hAnsi="Arial" w:cs="Arial"/>
          <w:color w:val="000000"/>
          <w:sz w:val="24"/>
          <w:szCs w:val="24"/>
          <w:lang w:eastAsia="en-GB"/>
        </w:rPr>
        <w:t xml:space="preserve">To make naloxone as widely and easily available as possible.  </w:t>
      </w:r>
    </w:p>
    <w:p w14:paraId="3B189A39" w14:textId="75BD3451" w:rsidR="00323D54" w:rsidRPr="00605F83" w:rsidRDefault="00DE5731" w:rsidP="001175EA">
      <w:pPr>
        <w:spacing w:before="60" w:after="60" w:line="254" w:lineRule="auto"/>
        <w:ind w:left="360"/>
        <w:contextualSpacing/>
        <w:jc w:val="both"/>
        <w:rPr>
          <w:rFonts w:ascii="Arial" w:eastAsia="Arial" w:hAnsi="Arial" w:cs="Arial"/>
          <w:color w:val="000000"/>
          <w:sz w:val="24"/>
          <w:szCs w:val="24"/>
          <w:lang w:eastAsia="en-GB"/>
        </w:rPr>
      </w:pPr>
      <w:r w:rsidRPr="00605F83">
        <w:rPr>
          <w:rFonts w:ascii="Arial" w:eastAsia="Arial" w:hAnsi="Arial" w:cs="Arial"/>
          <w:color w:val="000000"/>
          <w:sz w:val="24"/>
          <w:szCs w:val="24"/>
          <w:lang w:eastAsia="en-GB"/>
        </w:rPr>
        <w:t xml:space="preserve">For this reason all community pharmacies </w:t>
      </w:r>
      <w:r w:rsidR="00323D54" w:rsidRPr="00605F83">
        <w:rPr>
          <w:rFonts w:ascii="Arial" w:eastAsia="Arial" w:hAnsi="Arial" w:cs="Arial"/>
          <w:color w:val="000000"/>
          <w:sz w:val="24"/>
          <w:szCs w:val="24"/>
          <w:lang w:eastAsia="en-GB"/>
        </w:rPr>
        <w:t>who deliver level 1 SMS must sign</w:t>
      </w:r>
      <w:r w:rsidR="00957720">
        <w:rPr>
          <w:rFonts w:ascii="Arial" w:eastAsia="Arial" w:hAnsi="Arial" w:cs="Arial"/>
          <w:color w:val="000000"/>
          <w:sz w:val="24"/>
          <w:szCs w:val="24"/>
          <w:lang w:eastAsia="en-GB"/>
        </w:rPr>
        <w:t xml:space="preserve"> up to this SLA. </w:t>
      </w:r>
      <w:r w:rsidR="00323D54" w:rsidRPr="00605F83">
        <w:rPr>
          <w:rFonts w:ascii="Arial" w:eastAsia="Arial" w:hAnsi="Arial" w:cs="Arial"/>
          <w:color w:val="000000"/>
          <w:sz w:val="24"/>
          <w:szCs w:val="24"/>
          <w:lang w:eastAsia="en-GB"/>
        </w:rPr>
        <w:t>It is strongly recommended that all community pharmacies</w:t>
      </w:r>
      <w:r w:rsidR="00605F83" w:rsidRPr="00605F83">
        <w:rPr>
          <w:rFonts w:ascii="Arial" w:eastAsia="Arial" w:hAnsi="Arial" w:cs="Arial"/>
          <w:color w:val="000000"/>
          <w:sz w:val="24"/>
          <w:szCs w:val="24"/>
          <w:lang w:eastAsia="en-GB"/>
        </w:rPr>
        <w:t>, including those</w:t>
      </w:r>
      <w:r w:rsidR="00323D54" w:rsidRPr="00605F83">
        <w:rPr>
          <w:rFonts w:ascii="Arial" w:eastAsia="Arial" w:hAnsi="Arial" w:cs="Arial"/>
          <w:color w:val="000000"/>
          <w:sz w:val="24"/>
          <w:szCs w:val="24"/>
          <w:lang w:eastAsia="en-GB"/>
        </w:rPr>
        <w:t xml:space="preserve"> who do not deliver level 1 SMS</w:t>
      </w:r>
      <w:r w:rsidR="00605F83" w:rsidRPr="00605F83">
        <w:rPr>
          <w:rFonts w:ascii="Arial" w:eastAsia="Arial" w:hAnsi="Arial" w:cs="Arial"/>
          <w:color w:val="000000"/>
          <w:sz w:val="24"/>
          <w:szCs w:val="24"/>
          <w:lang w:eastAsia="en-GB"/>
        </w:rPr>
        <w:t>,</w:t>
      </w:r>
      <w:r w:rsidR="00323D54" w:rsidRPr="00605F83">
        <w:rPr>
          <w:rFonts w:ascii="Arial" w:eastAsia="Arial" w:hAnsi="Arial" w:cs="Arial"/>
          <w:color w:val="000000"/>
          <w:sz w:val="24"/>
          <w:szCs w:val="24"/>
          <w:lang w:eastAsia="en-GB"/>
        </w:rPr>
        <w:t xml:space="preserve"> sign up to this SLA.</w:t>
      </w:r>
    </w:p>
    <w:p w14:paraId="2DD9DDD7" w14:textId="56DC4F1D" w:rsidR="00DE5731" w:rsidRPr="009160DC" w:rsidRDefault="00DE5731" w:rsidP="001175EA">
      <w:pPr>
        <w:numPr>
          <w:ilvl w:val="0"/>
          <w:numId w:val="11"/>
        </w:numPr>
        <w:spacing w:before="60" w:after="60" w:line="254" w:lineRule="auto"/>
        <w:ind w:left="360"/>
        <w:contextualSpacing/>
        <w:jc w:val="both"/>
        <w:rPr>
          <w:rFonts w:ascii="Arial" w:eastAsia="Arial" w:hAnsi="Arial" w:cs="Arial"/>
          <w:color w:val="2E74B5" w:themeColor="accent1" w:themeShade="BF"/>
          <w:sz w:val="24"/>
          <w:szCs w:val="24"/>
          <w:u w:val="single"/>
          <w:lang w:eastAsia="en-GB"/>
        </w:rPr>
      </w:pPr>
      <w:r w:rsidRPr="00605F83">
        <w:rPr>
          <w:rFonts w:ascii="Arial" w:eastAsia="Arial" w:hAnsi="Arial" w:cs="Arial"/>
          <w:color w:val="000000"/>
          <w:sz w:val="24"/>
          <w:szCs w:val="24"/>
          <w:lang w:eastAsia="en-GB"/>
        </w:rPr>
        <w:t xml:space="preserve">To supply naloxone in line with </w:t>
      </w:r>
      <w:hyperlink r:id="rId9" w:history="1">
        <w:r w:rsidR="51705B84" w:rsidRPr="00957720">
          <w:rPr>
            <w:rFonts w:ascii="Arial" w:hAnsi="Arial" w:cs="Arial"/>
            <w:color w:val="2E74B5" w:themeColor="accent1" w:themeShade="BF"/>
            <w:sz w:val="24"/>
            <w:szCs w:val="24"/>
            <w:u w:val="single"/>
          </w:rPr>
          <w:t>Guidance for Services In Grampian to Supply Naloxone to Peop</w:t>
        </w:r>
        <w:r w:rsidR="647A0F21" w:rsidRPr="00957720">
          <w:rPr>
            <w:rFonts w:ascii="Arial" w:hAnsi="Arial" w:cs="Arial"/>
            <w:color w:val="2E74B5" w:themeColor="accent1" w:themeShade="BF"/>
            <w:sz w:val="24"/>
            <w:szCs w:val="24"/>
            <w:u w:val="single"/>
          </w:rPr>
          <w:t>l</w:t>
        </w:r>
        <w:r w:rsidR="51705B84" w:rsidRPr="00957720">
          <w:rPr>
            <w:rFonts w:ascii="Arial" w:hAnsi="Arial" w:cs="Arial"/>
            <w:color w:val="2E74B5" w:themeColor="accent1" w:themeShade="BF"/>
            <w:sz w:val="24"/>
            <w:szCs w:val="24"/>
            <w:u w:val="single"/>
          </w:rPr>
          <w:t>e at Risk of Opioid Overdose, Significant Others and Services in Contact with those at Risk</w:t>
        </w:r>
      </w:hyperlink>
    </w:p>
    <w:p w14:paraId="5530A494" w14:textId="3DD4172E" w:rsidR="009160DC" w:rsidRPr="009160DC" w:rsidRDefault="009160DC" w:rsidP="001175EA">
      <w:pPr>
        <w:numPr>
          <w:ilvl w:val="0"/>
          <w:numId w:val="11"/>
        </w:numPr>
        <w:spacing w:before="60" w:after="60" w:line="254" w:lineRule="auto"/>
        <w:ind w:left="360"/>
        <w:contextualSpacing/>
        <w:jc w:val="both"/>
        <w:rPr>
          <w:rFonts w:ascii="Arial" w:eastAsia="Arial" w:hAnsi="Arial" w:cs="Arial"/>
          <w:sz w:val="24"/>
          <w:szCs w:val="24"/>
          <w:lang w:eastAsia="en-GB"/>
        </w:rPr>
      </w:pPr>
      <w:r w:rsidRPr="009160DC">
        <w:rPr>
          <w:rFonts w:ascii="Arial" w:hAnsi="Arial" w:cs="Arial"/>
          <w:sz w:val="24"/>
          <w:szCs w:val="24"/>
        </w:rPr>
        <w:t xml:space="preserve">NB: either Prenoxad® intramuscular injection or </w:t>
      </w:r>
      <w:r w:rsidR="00E94536">
        <w:rPr>
          <w:rFonts w:ascii="Arial" w:hAnsi="Arial" w:cs="Arial"/>
          <w:sz w:val="24"/>
          <w:szCs w:val="24"/>
        </w:rPr>
        <w:t xml:space="preserve">naloxone nasal spray (naloxone 1.26mg or </w:t>
      </w:r>
      <w:r w:rsidRPr="009160DC">
        <w:rPr>
          <w:rFonts w:ascii="Arial" w:hAnsi="Arial" w:cs="Arial"/>
          <w:sz w:val="24"/>
          <w:szCs w:val="24"/>
        </w:rPr>
        <w:t>Nyxoid</w:t>
      </w:r>
      <w:r w:rsidRPr="009160DC">
        <w:rPr>
          <w:rFonts w:ascii="Arial" w:hAnsi="Arial" w:cs="Arial"/>
          <w:sz w:val="24"/>
          <w:szCs w:val="24"/>
          <w:vertAlign w:val="superscript"/>
        </w:rPr>
        <w:t>®</w:t>
      </w:r>
      <w:r w:rsidRPr="009160DC">
        <w:rPr>
          <w:rFonts w:ascii="Arial" w:hAnsi="Arial" w:cs="Arial"/>
          <w:sz w:val="24"/>
          <w:szCs w:val="24"/>
        </w:rPr>
        <w:t xml:space="preserve"> nasal spray</w:t>
      </w:r>
      <w:r w:rsidR="00E94536">
        <w:rPr>
          <w:rFonts w:ascii="Arial" w:hAnsi="Arial" w:cs="Arial"/>
          <w:sz w:val="24"/>
          <w:szCs w:val="24"/>
        </w:rPr>
        <w:t>)</w:t>
      </w:r>
      <w:r w:rsidRPr="009160DC">
        <w:rPr>
          <w:rFonts w:ascii="Arial" w:hAnsi="Arial" w:cs="Arial"/>
          <w:sz w:val="24"/>
          <w:szCs w:val="24"/>
        </w:rPr>
        <w:t xml:space="preserve"> may be supplied.</w:t>
      </w:r>
    </w:p>
    <w:p w14:paraId="1EA972A8" w14:textId="77777777" w:rsidR="00323D54" w:rsidRPr="00847742" w:rsidRDefault="00323D54" w:rsidP="00323D54">
      <w:pPr>
        <w:spacing w:before="60" w:after="60" w:line="254" w:lineRule="auto"/>
        <w:ind w:left="780"/>
        <w:rPr>
          <w:rFonts w:ascii="Arial" w:eastAsia="Calibri" w:hAnsi="Arial" w:cs="Arial"/>
          <w:color w:val="000000" w:themeColor="text1"/>
          <w:sz w:val="24"/>
          <w:szCs w:val="24"/>
          <w:lang w:eastAsia="en-GB"/>
        </w:rPr>
      </w:pPr>
    </w:p>
    <w:p w14:paraId="152ED672" w14:textId="665D0E16" w:rsidR="00DE5731" w:rsidRPr="00847742" w:rsidRDefault="00DE5731" w:rsidP="00C543E3">
      <w:pPr>
        <w:pStyle w:val="Heading1"/>
        <w:rPr>
          <w:rFonts w:eastAsia="Arial"/>
          <w:lang w:eastAsia="en-GB"/>
        </w:rPr>
      </w:pPr>
      <w:bookmarkStart w:id="3" w:name="_Toc66103597"/>
      <w:r w:rsidRPr="00847742">
        <w:rPr>
          <w:rFonts w:eastAsia="Arial"/>
          <w:lang w:eastAsia="en-GB"/>
        </w:rPr>
        <w:t>Service outline and standard</w:t>
      </w:r>
      <w:bookmarkEnd w:id="3"/>
      <w:r w:rsidRPr="00847742">
        <w:rPr>
          <w:rFonts w:eastAsia="Arial"/>
          <w:lang w:eastAsia="en-GB"/>
        </w:rPr>
        <w:t xml:space="preserve">  </w:t>
      </w:r>
    </w:p>
    <w:p w14:paraId="39BBE990" w14:textId="77777777" w:rsidR="00AE5F6B" w:rsidRPr="00847742" w:rsidRDefault="00AE5F6B" w:rsidP="00AE5F6B">
      <w:pPr>
        <w:spacing w:before="60" w:after="60" w:line="254" w:lineRule="auto"/>
        <w:ind w:left="10" w:hanging="10"/>
        <w:rPr>
          <w:rFonts w:ascii="Arial" w:eastAsia="Calibri" w:hAnsi="Arial" w:cs="Arial"/>
          <w:color w:val="000000"/>
          <w:sz w:val="24"/>
          <w:szCs w:val="24"/>
          <w:lang w:eastAsia="en-GB"/>
        </w:rPr>
      </w:pPr>
    </w:p>
    <w:p w14:paraId="40E58E4F" w14:textId="560ABD7A" w:rsidR="00DE5731" w:rsidRPr="0050070B" w:rsidRDefault="00DE5731" w:rsidP="0050070B">
      <w:pPr>
        <w:pStyle w:val="ListParagraph"/>
        <w:numPr>
          <w:ilvl w:val="1"/>
          <w:numId w:val="14"/>
        </w:numPr>
        <w:spacing w:before="60" w:after="60" w:line="254" w:lineRule="auto"/>
        <w:rPr>
          <w:rFonts w:ascii="Arial" w:eastAsia="Arial" w:hAnsi="Arial" w:cs="Arial"/>
          <w:color w:val="000000"/>
          <w:sz w:val="24"/>
          <w:szCs w:val="24"/>
          <w:lang w:eastAsia="en-GB"/>
        </w:rPr>
      </w:pPr>
      <w:r w:rsidRPr="0050070B">
        <w:rPr>
          <w:rFonts w:ascii="Arial" w:eastAsia="Arial" w:hAnsi="Arial" w:cs="Arial"/>
          <w:color w:val="000000"/>
          <w:sz w:val="24"/>
          <w:szCs w:val="24"/>
          <w:lang w:eastAsia="en-GB"/>
        </w:rPr>
        <w:t xml:space="preserve">Pharmacy contractors must ensure that pharmacy staff are able to deliver </w:t>
      </w:r>
      <w:r w:rsidR="00323D54" w:rsidRPr="0050070B">
        <w:rPr>
          <w:rFonts w:ascii="Arial" w:eastAsia="Arial" w:hAnsi="Arial" w:cs="Arial"/>
          <w:color w:val="000000"/>
          <w:sz w:val="24"/>
          <w:szCs w:val="24"/>
          <w:lang w:eastAsia="en-GB"/>
        </w:rPr>
        <w:t>this</w:t>
      </w:r>
      <w:r w:rsidRPr="0050070B">
        <w:rPr>
          <w:rFonts w:ascii="Arial" w:eastAsia="Arial" w:hAnsi="Arial" w:cs="Arial"/>
          <w:color w:val="000000"/>
          <w:sz w:val="24"/>
          <w:szCs w:val="24"/>
          <w:lang w:eastAsia="en-GB"/>
        </w:rPr>
        <w:t xml:space="preserve"> service </w:t>
      </w:r>
      <w:r w:rsidR="00323D54" w:rsidRPr="0050070B">
        <w:rPr>
          <w:rFonts w:ascii="Arial" w:eastAsia="Arial" w:hAnsi="Arial" w:cs="Arial"/>
          <w:color w:val="000000"/>
          <w:sz w:val="24"/>
          <w:szCs w:val="24"/>
          <w:lang w:eastAsia="en-GB"/>
        </w:rPr>
        <w:t>throughout</w:t>
      </w:r>
      <w:r w:rsidRPr="0050070B">
        <w:rPr>
          <w:rFonts w:ascii="Arial" w:eastAsia="Arial" w:hAnsi="Arial" w:cs="Arial"/>
          <w:color w:val="000000"/>
          <w:sz w:val="24"/>
          <w:szCs w:val="24"/>
          <w:lang w:eastAsia="en-GB"/>
        </w:rPr>
        <w:t xml:space="preserve"> opening hours:  </w:t>
      </w:r>
    </w:p>
    <w:p w14:paraId="7BF8BD10" w14:textId="253C04F6" w:rsidR="00DE5731" w:rsidRPr="001175EA" w:rsidRDefault="00323D54" w:rsidP="001175EA">
      <w:pPr>
        <w:pStyle w:val="ListParagraph"/>
        <w:numPr>
          <w:ilvl w:val="0"/>
          <w:numId w:val="11"/>
        </w:numPr>
        <w:spacing w:before="60" w:after="60" w:line="254" w:lineRule="auto"/>
        <w:rPr>
          <w:rFonts w:ascii="Arial" w:eastAsia="Calibri" w:hAnsi="Arial" w:cs="Arial"/>
          <w:color w:val="000000"/>
          <w:sz w:val="24"/>
          <w:szCs w:val="24"/>
          <w:lang w:eastAsia="en-GB"/>
        </w:rPr>
      </w:pPr>
      <w:r w:rsidRPr="001175EA">
        <w:rPr>
          <w:rFonts w:ascii="Arial" w:eastAsia="Arial" w:hAnsi="Arial" w:cs="Arial"/>
          <w:color w:val="000000"/>
          <w:sz w:val="24"/>
          <w:szCs w:val="24"/>
          <w:lang w:eastAsia="en-GB"/>
        </w:rPr>
        <w:t>O</w:t>
      </w:r>
      <w:r w:rsidR="00DE5731" w:rsidRPr="001175EA">
        <w:rPr>
          <w:rFonts w:ascii="Arial" w:eastAsia="Arial" w:hAnsi="Arial" w:cs="Arial"/>
          <w:color w:val="000000"/>
          <w:sz w:val="24"/>
          <w:szCs w:val="24"/>
          <w:lang w:eastAsia="en-GB"/>
        </w:rPr>
        <w:t xml:space="preserve">ffer the service to </w:t>
      </w:r>
      <w:r w:rsidRPr="001175EA">
        <w:rPr>
          <w:rFonts w:ascii="Arial" w:eastAsia="Arial" w:hAnsi="Arial" w:cs="Arial"/>
          <w:color w:val="000000"/>
          <w:sz w:val="24"/>
          <w:szCs w:val="24"/>
          <w:lang w:eastAsia="en-GB"/>
        </w:rPr>
        <w:t xml:space="preserve">all </w:t>
      </w:r>
      <w:r w:rsidR="00DE5731" w:rsidRPr="001175EA">
        <w:rPr>
          <w:rFonts w:ascii="Arial" w:eastAsia="Arial" w:hAnsi="Arial" w:cs="Arial"/>
          <w:color w:val="000000"/>
          <w:sz w:val="24"/>
          <w:szCs w:val="24"/>
          <w:lang w:eastAsia="en-GB"/>
        </w:rPr>
        <w:t xml:space="preserve">eligible people attending the pharmacy.  </w:t>
      </w:r>
    </w:p>
    <w:p w14:paraId="1219AA7C" w14:textId="175B196D" w:rsidR="007207DB" w:rsidRPr="001175EA" w:rsidRDefault="007207DB" w:rsidP="001175EA">
      <w:pPr>
        <w:pStyle w:val="ListParagraph"/>
        <w:numPr>
          <w:ilvl w:val="0"/>
          <w:numId w:val="11"/>
        </w:numPr>
        <w:spacing w:before="60" w:after="60" w:line="254" w:lineRule="auto"/>
        <w:rPr>
          <w:rFonts w:ascii="Arial" w:eastAsia="Calibri" w:hAnsi="Arial" w:cs="Arial"/>
          <w:color w:val="000000"/>
          <w:sz w:val="24"/>
          <w:szCs w:val="24"/>
          <w:lang w:eastAsia="en-GB"/>
        </w:rPr>
      </w:pPr>
      <w:r w:rsidRPr="001175EA">
        <w:rPr>
          <w:rFonts w:ascii="Arial" w:eastAsia="Arial" w:hAnsi="Arial" w:cs="Arial"/>
          <w:color w:val="000000"/>
          <w:sz w:val="24"/>
          <w:szCs w:val="24"/>
          <w:lang w:eastAsia="en-GB"/>
        </w:rPr>
        <w:t xml:space="preserve">Where supply is requested, make this </w:t>
      </w:r>
      <w:r w:rsidRPr="001175EA">
        <w:rPr>
          <w:rFonts w:ascii="Arial" w:eastAsia="Arial" w:hAnsi="Arial" w:cs="Arial"/>
          <w:b/>
          <w:color w:val="000000"/>
          <w:sz w:val="24"/>
          <w:szCs w:val="24"/>
          <w:lang w:eastAsia="en-GB"/>
        </w:rPr>
        <w:t>supply at the time of request</w:t>
      </w:r>
      <w:r w:rsidRPr="001175EA">
        <w:rPr>
          <w:rFonts w:ascii="Arial" w:eastAsia="Arial" w:hAnsi="Arial" w:cs="Arial"/>
          <w:color w:val="000000"/>
          <w:sz w:val="24"/>
          <w:szCs w:val="24"/>
          <w:lang w:eastAsia="en-GB"/>
        </w:rPr>
        <w:t xml:space="preserve"> wherever possible.</w:t>
      </w:r>
    </w:p>
    <w:p w14:paraId="107A0221" w14:textId="699B2024" w:rsidR="00DE5731" w:rsidRPr="00E14181" w:rsidRDefault="00DE5731" w:rsidP="00E14181">
      <w:pPr>
        <w:pStyle w:val="ListParagraph"/>
        <w:numPr>
          <w:ilvl w:val="1"/>
          <w:numId w:val="15"/>
        </w:numPr>
        <w:spacing w:before="60" w:after="60" w:line="254" w:lineRule="auto"/>
        <w:ind w:left="567" w:hanging="567"/>
        <w:rPr>
          <w:rFonts w:ascii="Arial" w:eastAsia="Calibri" w:hAnsi="Arial" w:cs="Arial"/>
          <w:color w:val="000000"/>
          <w:sz w:val="24"/>
          <w:szCs w:val="24"/>
          <w:lang w:eastAsia="en-GB"/>
        </w:rPr>
      </w:pPr>
      <w:r w:rsidRPr="00E14181">
        <w:rPr>
          <w:rFonts w:ascii="Arial" w:eastAsia="Arial" w:hAnsi="Arial" w:cs="Arial"/>
          <w:color w:val="000000"/>
          <w:sz w:val="24"/>
          <w:szCs w:val="24"/>
          <w:lang w:eastAsia="en-GB"/>
        </w:rPr>
        <w:t xml:space="preserve">Check the status of any existing supplies e.g. is </w:t>
      </w:r>
      <w:r w:rsidR="00323D54" w:rsidRPr="00E14181">
        <w:rPr>
          <w:rFonts w:ascii="Arial" w:eastAsia="Arial" w:hAnsi="Arial" w:cs="Arial"/>
          <w:color w:val="000000"/>
          <w:sz w:val="24"/>
          <w:szCs w:val="24"/>
          <w:lang w:eastAsia="en-GB"/>
        </w:rPr>
        <w:t>the naloxone</w:t>
      </w:r>
      <w:r w:rsidRPr="00E14181">
        <w:rPr>
          <w:rFonts w:ascii="Arial" w:eastAsia="Arial" w:hAnsi="Arial" w:cs="Arial"/>
          <w:color w:val="000000"/>
          <w:sz w:val="24"/>
          <w:szCs w:val="24"/>
          <w:lang w:eastAsia="en-GB"/>
        </w:rPr>
        <w:t xml:space="preserve"> still in date, opened, needles used etc. and resupply where necessary.  </w:t>
      </w:r>
    </w:p>
    <w:p w14:paraId="33B07472" w14:textId="2DE8D193" w:rsidR="00DE5731" w:rsidRPr="00E14181" w:rsidRDefault="00EF2475" w:rsidP="00E14181">
      <w:pPr>
        <w:pStyle w:val="ListParagraph"/>
        <w:numPr>
          <w:ilvl w:val="1"/>
          <w:numId w:val="15"/>
        </w:numPr>
        <w:spacing w:before="60" w:after="60" w:line="254" w:lineRule="auto"/>
        <w:ind w:left="567" w:right="341" w:hanging="567"/>
        <w:rPr>
          <w:rFonts w:ascii="Arial" w:eastAsiaTheme="minorEastAsia" w:hAnsi="Arial" w:cs="Arial"/>
          <w:color w:val="000000"/>
          <w:sz w:val="24"/>
          <w:szCs w:val="24"/>
          <w:lang w:eastAsia="en-GB"/>
        </w:rPr>
      </w:pPr>
      <w:r w:rsidRPr="00E14181">
        <w:rPr>
          <w:rFonts w:ascii="Arial" w:eastAsia="Arial" w:hAnsi="Arial" w:cs="Arial"/>
          <w:color w:val="000000" w:themeColor="text1"/>
          <w:sz w:val="24"/>
          <w:szCs w:val="24"/>
          <w:lang w:eastAsia="en-GB"/>
        </w:rPr>
        <w:t>Use the</w:t>
      </w:r>
      <w:r w:rsidR="00DE5731" w:rsidRPr="00E14181">
        <w:rPr>
          <w:rFonts w:ascii="Arial" w:eastAsia="Arial" w:hAnsi="Arial" w:cs="Arial"/>
          <w:color w:val="000000" w:themeColor="text1"/>
          <w:sz w:val="24"/>
          <w:szCs w:val="24"/>
          <w:lang w:eastAsia="en-GB"/>
        </w:rPr>
        <w:t xml:space="preserve"> </w:t>
      </w:r>
      <w:r w:rsidR="3115A7AD" w:rsidRPr="00E14181">
        <w:rPr>
          <w:rFonts w:ascii="Arial" w:eastAsia="Arial" w:hAnsi="Arial" w:cs="Arial"/>
          <w:color w:val="000000" w:themeColor="text1"/>
          <w:sz w:val="24"/>
          <w:szCs w:val="24"/>
          <w:lang w:eastAsia="en-GB"/>
        </w:rPr>
        <w:t>“Take Home Naloxone Key Points Sheet”</w:t>
      </w:r>
      <w:r w:rsidR="00625017" w:rsidRPr="00E14181">
        <w:rPr>
          <w:rFonts w:ascii="Arial" w:eastAsia="Arial" w:hAnsi="Arial" w:cs="Arial"/>
          <w:color w:val="000000" w:themeColor="text1"/>
          <w:sz w:val="24"/>
          <w:szCs w:val="24"/>
          <w:lang w:eastAsia="en-GB"/>
        </w:rPr>
        <w:t xml:space="preserve"> or the manufacturers product risk materials </w:t>
      </w:r>
      <w:proofErr w:type="spellStart"/>
      <w:r w:rsidRPr="00E14181">
        <w:rPr>
          <w:rFonts w:ascii="Arial" w:eastAsia="Arial" w:hAnsi="Arial" w:cs="Arial"/>
          <w:color w:val="000000" w:themeColor="text1"/>
          <w:sz w:val="24"/>
          <w:szCs w:val="24"/>
          <w:lang w:eastAsia="en-GB"/>
        </w:rPr>
        <w:t>e.g</w:t>
      </w:r>
      <w:proofErr w:type="spellEnd"/>
      <w:r w:rsidR="00625017" w:rsidRPr="00E14181">
        <w:rPr>
          <w:rFonts w:ascii="Arial" w:eastAsia="Arial" w:hAnsi="Arial" w:cs="Arial"/>
          <w:color w:val="000000" w:themeColor="text1"/>
          <w:sz w:val="24"/>
          <w:szCs w:val="24"/>
          <w:lang w:eastAsia="en-GB"/>
        </w:rPr>
        <w:t xml:space="preserve"> </w:t>
      </w:r>
      <w:hyperlink r:id="rId10" w:anchor="gref" w:history="1">
        <w:proofErr w:type="spellStart"/>
        <w:r w:rsidR="00625017" w:rsidRPr="00E14181">
          <w:rPr>
            <w:rFonts w:ascii="Arial" w:hAnsi="Arial" w:cs="Arial"/>
            <w:color w:val="0000FF"/>
            <w:sz w:val="24"/>
            <w:szCs w:val="24"/>
            <w:u w:val="single"/>
          </w:rPr>
          <w:t>Nyxoid</w:t>
        </w:r>
        <w:proofErr w:type="spellEnd"/>
        <w:r w:rsidR="00625017" w:rsidRPr="00E14181">
          <w:rPr>
            <w:rFonts w:ascii="Arial" w:hAnsi="Arial" w:cs="Arial"/>
            <w:color w:val="0000FF"/>
            <w:sz w:val="24"/>
            <w:szCs w:val="24"/>
            <w:u w:val="single"/>
          </w:rPr>
          <w:t xml:space="preserve"> 1.8 mg nasal spray, solution in a single-dose container - Risk Management Materials - (</w:t>
        </w:r>
        <w:proofErr w:type="spellStart"/>
        <w:r w:rsidR="00625017" w:rsidRPr="00E14181">
          <w:rPr>
            <w:rFonts w:ascii="Arial" w:hAnsi="Arial" w:cs="Arial"/>
            <w:color w:val="0000FF"/>
            <w:sz w:val="24"/>
            <w:szCs w:val="24"/>
            <w:u w:val="single"/>
          </w:rPr>
          <w:t>emc</w:t>
        </w:r>
        <w:proofErr w:type="spellEnd"/>
        <w:r w:rsidR="00625017" w:rsidRPr="00E14181">
          <w:rPr>
            <w:rFonts w:ascii="Arial" w:hAnsi="Arial" w:cs="Arial"/>
            <w:color w:val="0000FF"/>
            <w:sz w:val="24"/>
            <w:szCs w:val="24"/>
            <w:u w:val="single"/>
          </w:rPr>
          <w:t>) (medicines.org.uk)</w:t>
        </w:r>
      </w:hyperlink>
      <w:r w:rsidR="00E94536">
        <w:rPr>
          <w:rFonts w:ascii="Arial" w:hAnsi="Arial" w:cs="Arial"/>
          <w:color w:val="0000FF"/>
          <w:sz w:val="24"/>
          <w:szCs w:val="24"/>
          <w:u w:val="single"/>
        </w:rPr>
        <w:t xml:space="preserve">, </w:t>
      </w:r>
      <w:r w:rsidR="00DE5731" w:rsidRPr="00E14181">
        <w:rPr>
          <w:rFonts w:ascii="Arial" w:eastAsia="Arial" w:hAnsi="Arial" w:cs="Arial"/>
          <w:color w:val="000000" w:themeColor="text1"/>
          <w:sz w:val="24"/>
          <w:szCs w:val="24"/>
          <w:lang w:eastAsia="en-GB"/>
        </w:rPr>
        <w:t xml:space="preserve"> to ensure </w:t>
      </w:r>
      <w:r w:rsidR="00323D54" w:rsidRPr="00E14181">
        <w:rPr>
          <w:rFonts w:ascii="Arial" w:eastAsia="Arial" w:hAnsi="Arial" w:cs="Arial"/>
          <w:color w:val="000000" w:themeColor="text1"/>
          <w:sz w:val="24"/>
          <w:szCs w:val="24"/>
          <w:lang w:eastAsia="en-GB"/>
        </w:rPr>
        <w:t>those who are supplied with naloxone</w:t>
      </w:r>
      <w:r w:rsidR="00DE5731" w:rsidRPr="00E14181">
        <w:rPr>
          <w:rFonts w:ascii="Arial" w:eastAsia="Arial" w:hAnsi="Arial" w:cs="Arial"/>
          <w:color w:val="000000" w:themeColor="text1"/>
          <w:sz w:val="24"/>
          <w:szCs w:val="24"/>
          <w:lang w:eastAsia="en-GB"/>
        </w:rPr>
        <w:t xml:space="preserve"> have a basic understanding of:  </w:t>
      </w:r>
    </w:p>
    <w:p w14:paraId="1F44BA54" w14:textId="77777777" w:rsidR="00EF2475" w:rsidRPr="00EF2475" w:rsidRDefault="00DE5731" w:rsidP="00EF2475">
      <w:pPr>
        <w:numPr>
          <w:ilvl w:val="0"/>
          <w:numId w:val="16"/>
        </w:numPr>
        <w:spacing w:before="60" w:after="60" w:line="254" w:lineRule="auto"/>
        <w:contextualSpacing/>
        <w:rPr>
          <w:rFonts w:ascii="Arial" w:eastAsia="Calibri" w:hAnsi="Arial" w:cs="Arial"/>
          <w:color w:val="000000"/>
          <w:sz w:val="24"/>
          <w:szCs w:val="24"/>
          <w:lang w:eastAsia="en-GB"/>
        </w:rPr>
      </w:pPr>
      <w:r w:rsidRPr="00847742">
        <w:rPr>
          <w:rFonts w:ascii="Arial" w:eastAsia="Arial" w:hAnsi="Arial" w:cs="Arial"/>
          <w:color w:val="000000"/>
          <w:sz w:val="24"/>
          <w:szCs w:val="24"/>
          <w:lang w:eastAsia="en-GB"/>
        </w:rPr>
        <w:t xml:space="preserve">the risks, signs and symptoms of drug overdose </w:t>
      </w:r>
    </w:p>
    <w:p w14:paraId="43426CA6" w14:textId="17489704" w:rsidR="00EF2475" w:rsidRDefault="00EF2475" w:rsidP="00EF2475">
      <w:pPr>
        <w:pStyle w:val="ListParagraph"/>
        <w:numPr>
          <w:ilvl w:val="0"/>
          <w:numId w:val="16"/>
        </w:numPr>
        <w:spacing w:before="60" w:after="60" w:line="254" w:lineRule="auto"/>
        <w:rPr>
          <w:rFonts w:ascii="Arial" w:eastAsia="Arial" w:hAnsi="Arial" w:cs="Arial"/>
          <w:color w:val="000000"/>
          <w:sz w:val="24"/>
          <w:szCs w:val="24"/>
          <w:lang w:eastAsia="en-GB"/>
        </w:rPr>
      </w:pPr>
      <w:r w:rsidRPr="00EF2475">
        <w:rPr>
          <w:rFonts w:ascii="Arial" w:eastAsia="Arial" w:hAnsi="Arial" w:cs="Arial"/>
          <w:color w:val="000000"/>
          <w:sz w:val="24"/>
          <w:szCs w:val="24"/>
          <w:lang w:eastAsia="en-GB"/>
        </w:rPr>
        <w:t>how naloxone works and how to use</w:t>
      </w:r>
      <w:r w:rsidR="00E94536">
        <w:rPr>
          <w:rFonts w:ascii="Arial" w:eastAsia="Arial" w:hAnsi="Arial" w:cs="Arial"/>
          <w:color w:val="000000"/>
          <w:sz w:val="24"/>
          <w:szCs w:val="24"/>
          <w:lang w:eastAsia="en-GB"/>
        </w:rPr>
        <w:t xml:space="preserve"> each of the</w:t>
      </w:r>
      <w:r w:rsidRPr="00EF2475">
        <w:rPr>
          <w:rFonts w:ascii="Arial" w:eastAsia="Arial" w:hAnsi="Arial" w:cs="Arial"/>
          <w:color w:val="000000"/>
          <w:sz w:val="24"/>
          <w:szCs w:val="24"/>
          <w:lang w:eastAsia="en-GB"/>
        </w:rPr>
        <w:t xml:space="preserve"> naloxone products</w:t>
      </w:r>
      <w:r w:rsidR="00E94536">
        <w:rPr>
          <w:rFonts w:ascii="Arial" w:eastAsia="Arial" w:hAnsi="Arial" w:cs="Arial"/>
          <w:color w:val="000000"/>
          <w:sz w:val="24"/>
          <w:szCs w:val="24"/>
          <w:lang w:eastAsia="en-GB"/>
        </w:rPr>
        <w:t xml:space="preserve"> (Videos can be accessed here </w:t>
      </w:r>
      <w:hyperlink r:id="rId11" w:history="1">
        <w:r w:rsidR="00E94536" w:rsidRPr="00E94536">
          <w:rPr>
            <w:rFonts w:ascii="Arial" w:eastAsia="Arial" w:hAnsi="Arial" w:cs="Arial"/>
            <w:color w:val="0000FF"/>
            <w:sz w:val="24"/>
            <w:szCs w:val="24"/>
            <w:u w:val="single"/>
            <w:lang w:eastAsia="en-GB"/>
          </w:rPr>
          <w:t>www.prenoxadinjection.com/video/admin.mp4</w:t>
        </w:r>
      </w:hyperlink>
      <w:r w:rsidR="00E94536" w:rsidRPr="00E94536">
        <w:rPr>
          <w:rFonts w:ascii="Arial" w:eastAsia="Arial" w:hAnsi="Arial" w:cs="Arial"/>
          <w:color w:val="0000FF"/>
          <w:sz w:val="24"/>
          <w:szCs w:val="24"/>
          <w:u w:val="single"/>
          <w:lang w:eastAsia="en-GB"/>
        </w:rPr>
        <w:t>,</w:t>
      </w:r>
      <w:r w:rsidR="00E94536" w:rsidRPr="00E94536">
        <w:rPr>
          <w:rFonts w:ascii="Arial" w:eastAsia="Arial" w:hAnsi="Arial" w:cs="Arial"/>
          <w:color w:val="0000FF"/>
          <w:sz w:val="24"/>
          <w:szCs w:val="24"/>
          <w:lang w:eastAsia="en-GB"/>
        </w:rPr>
        <w:t xml:space="preserve"> </w:t>
      </w:r>
      <w:hyperlink r:id="rId12" w:history="1">
        <w:r w:rsidR="00E94536" w:rsidRPr="00E94536">
          <w:rPr>
            <w:rFonts w:ascii="Arial" w:eastAsia="Arial" w:hAnsi="Arial" w:cs="Arial"/>
            <w:color w:val="0000FF"/>
            <w:sz w:val="24"/>
            <w:szCs w:val="24"/>
            <w:u w:val="single"/>
            <w:lang w:eastAsia="en-GB"/>
          </w:rPr>
          <w:t>www.nyxoid.com/uk</w:t>
        </w:r>
      </w:hyperlink>
      <w:r w:rsidR="00E94536" w:rsidRPr="00E94536">
        <w:rPr>
          <w:rFonts w:ascii="Arial" w:eastAsia="Arial" w:hAnsi="Arial" w:cs="Arial"/>
          <w:sz w:val="24"/>
          <w:szCs w:val="24"/>
          <w:lang w:eastAsia="en-GB"/>
        </w:rPr>
        <w:t xml:space="preserve"> and</w:t>
      </w:r>
      <w:r w:rsidR="00E94536" w:rsidRPr="00E94536">
        <w:rPr>
          <w:rFonts w:ascii="Arial" w:eastAsia="Arial" w:hAnsi="Arial" w:cs="Arial"/>
          <w:color w:val="0000FF"/>
          <w:sz w:val="24"/>
          <w:szCs w:val="24"/>
          <w:u w:val="single"/>
          <w:lang w:eastAsia="en-GB"/>
        </w:rPr>
        <w:t xml:space="preserve"> </w:t>
      </w:r>
      <w:hyperlink r:id="rId13" w:history="1">
        <w:r w:rsidR="00E94536" w:rsidRPr="00E94536">
          <w:rPr>
            <w:rFonts w:ascii="Arial" w:eastAsia="Arial" w:hAnsi="Arial" w:cs="Arial"/>
            <w:color w:val="0000FF"/>
            <w:sz w:val="24"/>
            <w:szCs w:val="24"/>
            <w:u w:val="single"/>
            <w:lang w:eastAsia="en-GB"/>
          </w:rPr>
          <w:t>https://naloxone.uk/</w:t>
        </w:r>
      </w:hyperlink>
      <w:r w:rsidR="00E94536" w:rsidRPr="00E94536">
        <w:rPr>
          <w:rFonts w:ascii="Arial" w:eastAsia="Arial" w:hAnsi="Arial" w:cs="Arial"/>
          <w:sz w:val="24"/>
          <w:szCs w:val="24"/>
          <w:lang w:eastAsia="en-GB"/>
        </w:rPr>
        <w:t xml:space="preserve"> </w:t>
      </w:r>
      <w:r w:rsidR="00E94536">
        <w:rPr>
          <w:rFonts w:ascii="Arial" w:eastAsia="Arial" w:hAnsi="Arial" w:cs="Arial"/>
          <w:sz w:val="24"/>
          <w:szCs w:val="24"/>
          <w:lang w:eastAsia="en-GB"/>
        </w:rPr>
        <w:t>)</w:t>
      </w:r>
    </w:p>
    <w:p w14:paraId="4B972DB1" w14:textId="664F001B" w:rsidR="00DE5731" w:rsidRPr="00EF2475" w:rsidRDefault="00DE5731" w:rsidP="00EF2475">
      <w:pPr>
        <w:pStyle w:val="ListParagraph"/>
        <w:numPr>
          <w:ilvl w:val="0"/>
          <w:numId w:val="16"/>
        </w:numPr>
        <w:spacing w:before="60" w:after="60" w:line="254" w:lineRule="auto"/>
        <w:rPr>
          <w:rFonts w:ascii="Arial" w:eastAsia="Arial" w:hAnsi="Arial" w:cs="Arial"/>
          <w:color w:val="000000"/>
          <w:sz w:val="24"/>
          <w:szCs w:val="24"/>
          <w:lang w:eastAsia="en-GB"/>
        </w:rPr>
      </w:pPr>
      <w:r w:rsidRPr="00EF2475">
        <w:rPr>
          <w:rFonts w:ascii="Arial" w:eastAsia="Arial" w:hAnsi="Arial" w:cs="Arial"/>
          <w:color w:val="000000"/>
          <w:sz w:val="24"/>
          <w:szCs w:val="24"/>
          <w:lang w:eastAsia="en-GB"/>
        </w:rPr>
        <w:t xml:space="preserve">basic life support and the recovery position  </w:t>
      </w:r>
    </w:p>
    <w:p w14:paraId="5C06AF2B" w14:textId="77777777" w:rsidR="00DE5731" w:rsidRPr="00847742" w:rsidRDefault="00DE5731" w:rsidP="00EF2475">
      <w:pPr>
        <w:numPr>
          <w:ilvl w:val="0"/>
          <w:numId w:val="16"/>
        </w:numPr>
        <w:spacing w:before="60" w:after="60" w:line="254" w:lineRule="auto"/>
        <w:contextualSpacing/>
        <w:rPr>
          <w:rFonts w:ascii="Arial" w:eastAsia="Calibri" w:hAnsi="Arial" w:cs="Arial"/>
          <w:color w:val="000000"/>
          <w:sz w:val="24"/>
          <w:szCs w:val="24"/>
          <w:lang w:eastAsia="en-GB"/>
        </w:rPr>
      </w:pPr>
      <w:r w:rsidRPr="00847742">
        <w:rPr>
          <w:rFonts w:ascii="Arial" w:eastAsia="Arial" w:hAnsi="Arial" w:cs="Arial"/>
          <w:color w:val="000000"/>
          <w:sz w:val="24"/>
          <w:szCs w:val="24"/>
          <w:lang w:eastAsia="en-GB"/>
        </w:rPr>
        <w:t xml:space="preserve">the importance of calling an ambulance  </w:t>
      </w:r>
    </w:p>
    <w:p w14:paraId="11224D1F" w14:textId="7F398CF2" w:rsidR="00DE5731" w:rsidRPr="00E14181" w:rsidRDefault="00DE5731" w:rsidP="00E14181">
      <w:pPr>
        <w:pStyle w:val="ListParagraph"/>
        <w:numPr>
          <w:ilvl w:val="1"/>
          <w:numId w:val="15"/>
        </w:numPr>
        <w:spacing w:before="60" w:after="60" w:line="254" w:lineRule="auto"/>
        <w:ind w:left="567" w:right="658" w:hanging="567"/>
        <w:rPr>
          <w:rFonts w:ascii="Arial" w:eastAsia="Calibri" w:hAnsi="Arial" w:cs="Arial"/>
          <w:color w:val="000000"/>
          <w:sz w:val="24"/>
          <w:szCs w:val="24"/>
          <w:lang w:eastAsia="en-GB"/>
        </w:rPr>
      </w:pPr>
      <w:r w:rsidRPr="00E14181">
        <w:rPr>
          <w:rFonts w:ascii="Arial" w:eastAsia="Arial" w:hAnsi="Arial" w:cs="Arial"/>
          <w:color w:val="000000"/>
          <w:sz w:val="24"/>
          <w:szCs w:val="24"/>
          <w:lang w:eastAsia="en-GB"/>
        </w:rPr>
        <w:t xml:space="preserve">Provide advice and support to anyone who returns having used the training and/or naloxone supply.  </w:t>
      </w:r>
    </w:p>
    <w:p w14:paraId="6BF555EE" w14:textId="6CDBB370" w:rsidR="00DE5731" w:rsidRPr="00E14181" w:rsidRDefault="00DE5731" w:rsidP="00E14181">
      <w:pPr>
        <w:pStyle w:val="ListParagraph"/>
        <w:numPr>
          <w:ilvl w:val="1"/>
          <w:numId w:val="15"/>
        </w:numPr>
        <w:spacing w:before="60" w:after="60" w:line="254" w:lineRule="auto"/>
        <w:ind w:left="567" w:hanging="567"/>
        <w:rPr>
          <w:rFonts w:ascii="Arial" w:eastAsia="Calibri" w:hAnsi="Arial" w:cs="Arial"/>
          <w:color w:val="000000"/>
          <w:sz w:val="24"/>
          <w:szCs w:val="24"/>
          <w:lang w:eastAsia="en-GB"/>
        </w:rPr>
      </w:pPr>
      <w:r w:rsidRPr="00E14181">
        <w:rPr>
          <w:rFonts w:ascii="Arial" w:eastAsia="Arial" w:hAnsi="Arial" w:cs="Arial"/>
          <w:color w:val="000000"/>
          <w:sz w:val="24"/>
          <w:szCs w:val="24"/>
          <w:lang w:eastAsia="en-GB"/>
        </w:rPr>
        <w:t>Make a new or replacement supply of naloxone as appropriate.</w:t>
      </w:r>
      <w:r w:rsidR="00C43DCE">
        <w:rPr>
          <w:rFonts w:ascii="Arial" w:eastAsia="Arial" w:hAnsi="Arial" w:cs="Arial"/>
          <w:color w:val="000000"/>
          <w:sz w:val="24"/>
          <w:szCs w:val="24"/>
          <w:lang w:eastAsia="en-GB"/>
        </w:rPr>
        <w:t xml:space="preserve"> </w:t>
      </w:r>
      <w:r w:rsidR="00C43DCE" w:rsidRPr="00C43DCE">
        <w:rPr>
          <w:rFonts w:ascii="Arial" w:eastAsia="Arial" w:hAnsi="Arial" w:cs="Arial"/>
          <w:b/>
          <w:color w:val="000000"/>
          <w:sz w:val="24"/>
          <w:szCs w:val="24"/>
          <w:lang w:eastAsia="en-GB"/>
        </w:rPr>
        <w:t xml:space="preserve">You should add a pharmacy address label to the product and </w:t>
      </w:r>
      <w:r w:rsidR="00C43DCE">
        <w:rPr>
          <w:rFonts w:ascii="Arial" w:eastAsia="Arial" w:hAnsi="Arial" w:cs="Arial"/>
          <w:b/>
          <w:color w:val="000000"/>
          <w:sz w:val="24"/>
          <w:szCs w:val="24"/>
          <w:lang w:eastAsia="en-GB"/>
        </w:rPr>
        <w:t xml:space="preserve">annotate </w:t>
      </w:r>
      <w:r w:rsidR="00C43DCE" w:rsidRPr="00C43DCE">
        <w:rPr>
          <w:rFonts w:ascii="Arial" w:eastAsia="Arial" w:hAnsi="Arial" w:cs="Arial"/>
          <w:b/>
          <w:color w:val="000000"/>
          <w:sz w:val="24"/>
          <w:szCs w:val="24"/>
          <w:lang w:eastAsia="en-GB"/>
        </w:rPr>
        <w:t>the date this item was issued.</w:t>
      </w:r>
      <w:r w:rsidRPr="00E14181">
        <w:rPr>
          <w:rFonts w:ascii="Arial" w:eastAsia="Arial" w:hAnsi="Arial" w:cs="Arial"/>
          <w:color w:val="000000"/>
          <w:sz w:val="24"/>
          <w:szCs w:val="24"/>
          <w:lang w:eastAsia="en-GB"/>
        </w:rPr>
        <w:t xml:space="preserve">   </w:t>
      </w:r>
    </w:p>
    <w:p w14:paraId="3DEE8A17" w14:textId="68E05745" w:rsidR="00DE5731" w:rsidRPr="00E14181" w:rsidRDefault="00DE5731" w:rsidP="00E14181">
      <w:pPr>
        <w:pStyle w:val="ListParagraph"/>
        <w:numPr>
          <w:ilvl w:val="1"/>
          <w:numId w:val="15"/>
        </w:numPr>
        <w:spacing w:before="60" w:after="60" w:line="254" w:lineRule="auto"/>
        <w:ind w:left="567" w:hanging="567"/>
        <w:rPr>
          <w:rFonts w:ascii="Arial" w:eastAsia="Arial" w:hAnsi="Arial" w:cs="Arial"/>
          <w:color w:val="000000"/>
          <w:sz w:val="24"/>
          <w:szCs w:val="24"/>
          <w:lang w:eastAsia="en-GB"/>
        </w:rPr>
      </w:pPr>
      <w:r w:rsidRPr="00E14181">
        <w:rPr>
          <w:rFonts w:ascii="Arial" w:eastAsia="Arial" w:hAnsi="Arial" w:cs="Arial"/>
          <w:color w:val="000000" w:themeColor="text1"/>
          <w:sz w:val="24"/>
          <w:szCs w:val="24"/>
          <w:lang w:eastAsia="en-GB"/>
        </w:rPr>
        <w:t xml:space="preserve">Display a suitable poster and maintain a supply of </w:t>
      </w:r>
      <w:r w:rsidR="00AE5F6B" w:rsidRPr="00E14181">
        <w:rPr>
          <w:rFonts w:ascii="Arial" w:eastAsia="Arial" w:hAnsi="Arial" w:cs="Arial"/>
          <w:color w:val="000000" w:themeColor="text1"/>
          <w:sz w:val="24"/>
          <w:szCs w:val="24"/>
          <w:lang w:eastAsia="en-GB"/>
        </w:rPr>
        <w:t>Prenoxad®</w:t>
      </w:r>
      <w:r w:rsidRPr="00E14181">
        <w:rPr>
          <w:rFonts w:ascii="Arial" w:eastAsia="Arial" w:hAnsi="Arial" w:cs="Arial"/>
          <w:color w:val="000000" w:themeColor="text1"/>
          <w:sz w:val="24"/>
          <w:szCs w:val="24"/>
          <w:lang w:eastAsia="en-GB"/>
        </w:rPr>
        <w:t xml:space="preserve"> </w:t>
      </w:r>
      <w:r w:rsidR="1C107CA7" w:rsidRPr="00E14181">
        <w:rPr>
          <w:rFonts w:ascii="Arial" w:eastAsia="Arial" w:hAnsi="Arial" w:cs="Arial"/>
          <w:color w:val="000000" w:themeColor="text1"/>
          <w:sz w:val="24"/>
          <w:szCs w:val="24"/>
          <w:lang w:eastAsia="en-GB"/>
        </w:rPr>
        <w:t>and Nyxoid</w:t>
      </w:r>
      <w:r w:rsidR="00AE5F6B" w:rsidRPr="00E14181">
        <w:rPr>
          <w:rFonts w:ascii="Arial" w:eastAsia="Arial" w:hAnsi="Arial" w:cs="Arial"/>
          <w:color w:val="000000" w:themeColor="text1"/>
          <w:sz w:val="24"/>
          <w:szCs w:val="24"/>
          <w:lang w:eastAsia="en-GB"/>
        </w:rPr>
        <w:t>®</w:t>
      </w:r>
      <w:r w:rsidR="1C107CA7" w:rsidRPr="00E14181">
        <w:rPr>
          <w:rFonts w:ascii="Arial" w:eastAsia="Arial" w:hAnsi="Arial" w:cs="Arial"/>
          <w:color w:val="000000" w:themeColor="text1"/>
          <w:sz w:val="24"/>
          <w:szCs w:val="24"/>
          <w:lang w:eastAsia="en-GB"/>
        </w:rPr>
        <w:t xml:space="preserve"> </w:t>
      </w:r>
      <w:r w:rsidR="00EF2475" w:rsidRPr="00E14181">
        <w:rPr>
          <w:rFonts w:ascii="Arial" w:eastAsia="Arial" w:hAnsi="Arial" w:cs="Arial"/>
          <w:color w:val="000000" w:themeColor="text1"/>
          <w:sz w:val="24"/>
          <w:szCs w:val="24"/>
          <w:lang w:eastAsia="en-GB"/>
        </w:rPr>
        <w:t xml:space="preserve">information leaflets </w:t>
      </w:r>
      <w:hyperlink r:id="rId14">
        <w:r w:rsidRPr="00E14181">
          <w:rPr>
            <w:rFonts w:ascii="Arial" w:eastAsia="Arial" w:hAnsi="Arial" w:cs="Arial"/>
            <w:color w:val="0563C1"/>
            <w:sz w:val="24"/>
            <w:szCs w:val="24"/>
            <w:u w:val="single"/>
            <w:lang w:eastAsia="en-GB"/>
          </w:rPr>
          <w:t>www.nhsghpcat.org</w:t>
        </w:r>
      </w:hyperlink>
      <w:r w:rsidRPr="00E14181">
        <w:rPr>
          <w:rFonts w:ascii="Arial" w:eastAsia="Arial" w:hAnsi="Arial" w:cs="Arial"/>
          <w:color w:val="000000" w:themeColor="text1"/>
          <w:sz w:val="24"/>
          <w:szCs w:val="24"/>
          <w:lang w:eastAsia="en-GB"/>
        </w:rPr>
        <w:t xml:space="preserve">; Email: </w:t>
      </w:r>
      <w:hyperlink r:id="rId15" w:history="1">
        <w:r w:rsidR="00605F83" w:rsidRPr="00E14181">
          <w:rPr>
            <w:rStyle w:val="Hyperlink"/>
            <w:rFonts w:ascii="Arial" w:eastAsia="Arial" w:hAnsi="Arial" w:cs="Arial"/>
            <w:sz w:val="24"/>
            <w:szCs w:val="24"/>
            <w:lang w:eastAsia="en-GB"/>
          </w:rPr>
          <w:t>gram.resources@nhs.scot</w:t>
        </w:r>
      </w:hyperlink>
      <w:r w:rsidR="00EF2475" w:rsidRPr="00E14181">
        <w:rPr>
          <w:rFonts w:ascii="Arial" w:eastAsia="Arial" w:hAnsi="Arial" w:cs="Arial"/>
          <w:color w:val="000000" w:themeColor="text1"/>
          <w:sz w:val="24"/>
          <w:szCs w:val="24"/>
          <w:lang w:eastAsia="en-GB"/>
        </w:rPr>
        <w:t>; Telephone: 01224 558504</w:t>
      </w:r>
    </w:p>
    <w:p w14:paraId="0D51C764" w14:textId="7219CFC5" w:rsidR="00DE5731" w:rsidRPr="00E14181" w:rsidRDefault="00DE5731" w:rsidP="00E14181">
      <w:pPr>
        <w:pStyle w:val="ListParagraph"/>
        <w:numPr>
          <w:ilvl w:val="1"/>
          <w:numId w:val="15"/>
        </w:numPr>
        <w:spacing w:before="60" w:after="60" w:line="254" w:lineRule="auto"/>
        <w:ind w:left="567" w:hanging="567"/>
        <w:rPr>
          <w:rFonts w:ascii="Arial" w:eastAsia="Calibri" w:hAnsi="Arial" w:cs="Arial"/>
          <w:color w:val="000000"/>
          <w:sz w:val="24"/>
          <w:szCs w:val="24"/>
          <w:lang w:eastAsia="en-GB"/>
        </w:rPr>
      </w:pPr>
      <w:r w:rsidRPr="00E14181">
        <w:rPr>
          <w:rFonts w:ascii="Arial" w:eastAsia="Arial" w:hAnsi="Arial" w:cs="Arial"/>
          <w:color w:val="000000"/>
          <w:sz w:val="24"/>
          <w:szCs w:val="24"/>
          <w:lang w:eastAsia="en-GB"/>
        </w:rPr>
        <w:t>Complete the Record of Training and Supply including consent and enter information into the approved electronic database (currently neo360</w:t>
      </w:r>
      <w:r w:rsidRPr="00E14181">
        <w:rPr>
          <w:rFonts w:ascii="Arial" w:eastAsia="Arial" w:hAnsi="Arial" w:cs="Arial"/>
          <w:color w:val="000000"/>
          <w:sz w:val="24"/>
          <w:szCs w:val="24"/>
          <w:vertAlign w:val="superscript"/>
          <w:lang w:eastAsia="en-GB"/>
        </w:rPr>
        <w:t>®</w:t>
      </w:r>
      <w:r w:rsidR="00E14181">
        <w:rPr>
          <w:rFonts w:ascii="Arial" w:eastAsia="Arial" w:hAnsi="Arial" w:cs="Arial"/>
          <w:color w:val="000000"/>
          <w:sz w:val="24"/>
          <w:szCs w:val="24"/>
          <w:lang w:eastAsia="en-GB"/>
        </w:rPr>
        <w:t>) on the day of supply.</w:t>
      </w:r>
    </w:p>
    <w:p w14:paraId="78FC097C" w14:textId="696F7919" w:rsidR="00AE5F6B" w:rsidRPr="00E14181" w:rsidRDefault="00DE5731" w:rsidP="00C543E3">
      <w:pPr>
        <w:pStyle w:val="Heading1"/>
        <w:rPr>
          <w:rFonts w:eastAsia="Arial"/>
          <w:lang w:eastAsia="en-GB"/>
        </w:rPr>
      </w:pPr>
      <w:r w:rsidRPr="00E14181">
        <w:rPr>
          <w:rFonts w:eastAsia="Arial"/>
          <w:lang w:eastAsia="en-GB"/>
        </w:rPr>
        <w:t xml:space="preserve"> </w:t>
      </w:r>
      <w:bookmarkStart w:id="4" w:name="_Toc66103598"/>
      <w:r w:rsidRPr="00E14181">
        <w:rPr>
          <w:rFonts w:eastAsia="Arial"/>
          <w:lang w:eastAsia="en-GB"/>
        </w:rPr>
        <w:t>Training requirement</w:t>
      </w:r>
      <w:bookmarkEnd w:id="4"/>
      <w:r w:rsidRPr="00E14181">
        <w:rPr>
          <w:rFonts w:eastAsia="Arial"/>
          <w:lang w:eastAsia="en-GB"/>
        </w:rPr>
        <w:t xml:space="preserve"> </w:t>
      </w:r>
    </w:p>
    <w:p w14:paraId="39AC19A3" w14:textId="0B5F147E" w:rsidR="00DE5731" w:rsidRPr="00847742" w:rsidRDefault="00DE5731" w:rsidP="00AE5F6B">
      <w:pPr>
        <w:spacing w:before="60" w:after="60" w:line="254" w:lineRule="auto"/>
        <w:ind w:left="10" w:hanging="10"/>
        <w:rPr>
          <w:rFonts w:ascii="Arial" w:eastAsia="Calibri" w:hAnsi="Arial" w:cs="Arial"/>
          <w:color w:val="000000"/>
          <w:sz w:val="24"/>
          <w:szCs w:val="24"/>
          <w:lang w:eastAsia="en-GB"/>
        </w:rPr>
      </w:pPr>
    </w:p>
    <w:p w14:paraId="1A604AAC" w14:textId="7DAA43CF" w:rsidR="00DE5731" w:rsidRPr="00C543E3" w:rsidRDefault="007207DB" w:rsidP="00C543E3">
      <w:pPr>
        <w:pStyle w:val="ListParagraph"/>
        <w:numPr>
          <w:ilvl w:val="1"/>
          <w:numId w:val="14"/>
        </w:numPr>
        <w:spacing w:before="60" w:after="60" w:line="254" w:lineRule="auto"/>
        <w:rPr>
          <w:rFonts w:ascii="Arial" w:eastAsia="Arial" w:hAnsi="Arial" w:cs="Arial"/>
          <w:color w:val="000000"/>
          <w:sz w:val="24"/>
          <w:szCs w:val="24"/>
          <w:lang w:eastAsia="en-GB"/>
        </w:rPr>
      </w:pPr>
      <w:r w:rsidRPr="00C543E3">
        <w:rPr>
          <w:rFonts w:ascii="Arial" w:eastAsia="Arial" w:hAnsi="Arial" w:cs="Arial"/>
          <w:color w:val="000000"/>
          <w:sz w:val="24"/>
          <w:szCs w:val="24"/>
          <w:lang w:eastAsia="en-GB"/>
        </w:rPr>
        <w:t>Any member of the pharmacy t</w:t>
      </w:r>
      <w:r w:rsidR="00DE5731" w:rsidRPr="00C543E3">
        <w:rPr>
          <w:rFonts w:ascii="Arial" w:eastAsia="Arial" w:hAnsi="Arial" w:cs="Arial"/>
          <w:color w:val="000000"/>
          <w:sz w:val="24"/>
          <w:szCs w:val="24"/>
          <w:lang w:eastAsia="en-GB"/>
        </w:rPr>
        <w:t>eam can be trained to deliver this service.  The service works better where it is not solely reliant on the pharmacist.</w:t>
      </w:r>
    </w:p>
    <w:p w14:paraId="49035062" w14:textId="77777777" w:rsidR="00F017BE" w:rsidRPr="00F017BE" w:rsidRDefault="00DE5731" w:rsidP="00C543E3">
      <w:pPr>
        <w:pStyle w:val="ListParagraph"/>
        <w:numPr>
          <w:ilvl w:val="1"/>
          <w:numId w:val="14"/>
        </w:numPr>
        <w:spacing w:before="60" w:after="60" w:line="254" w:lineRule="auto"/>
        <w:rPr>
          <w:rFonts w:ascii="Arial" w:eastAsia="Arial" w:hAnsi="Arial" w:cs="Arial"/>
          <w:color w:val="000000"/>
          <w:sz w:val="24"/>
          <w:szCs w:val="24"/>
          <w:lang w:eastAsia="en-GB"/>
        </w:rPr>
      </w:pPr>
      <w:r w:rsidRPr="00C543E3">
        <w:rPr>
          <w:rFonts w:ascii="Arial" w:eastAsia="Arial" w:hAnsi="Arial" w:cs="Arial"/>
          <w:color w:val="000000" w:themeColor="text1"/>
          <w:sz w:val="24"/>
          <w:szCs w:val="24"/>
          <w:lang w:eastAsia="en-GB"/>
        </w:rPr>
        <w:t>It is the contractor’s responsibility to ensure all staff delivering the service have completed appropriate training, are competent and have the required personal and technical skills to provide this service at all times the pharmacy is open.</w:t>
      </w:r>
    </w:p>
    <w:p w14:paraId="560B1673" w14:textId="77777777" w:rsidR="00F017BE" w:rsidRDefault="00BD7A3D" w:rsidP="00F017BE">
      <w:pPr>
        <w:pStyle w:val="Heading1"/>
      </w:pPr>
      <w:hyperlink r:id="rId16" w:history="1">
        <w:r w:rsidR="00F017BE" w:rsidRPr="009D7A2A">
          <w:t xml:space="preserve">Pharmacy Naloxone Service - Lesson 1 - Drug Related Deaths in Scotland | </w:t>
        </w:r>
        <w:proofErr w:type="spellStart"/>
        <w:r w:rsidR="00F017BE" w:rsidRPr="009D7A2A">
          <w:t>Turas</w:t>
        </w:r>
        <w:proofErr w:type="spellEnd"/>
        <w:r w:rsidR="00F017BE" w:rsidRPr="009D7A2A">
          <w:t xml:space="preserve"> | Learn (</w:t>
        </w:r>
        <w:proofErr w:type="spellStart"/>
        <w:r w:rsidR="00F017BE" w:rsidRPr="009D7A2A">
          <w:t>nhs.scot</w:t>
        </w:r>
        <w:proofErr w:type="spellEnd"/>
        <w:r w:rsidR="00F017BE" w:rsidRPr="009D7A2A">
          <w:t>)</w:t>
        </w:r>
      </w:hyperlink>
      <w:r w:rsidR="00F017BE">
        <w:t xml:space="preserve"> (all three sections to be completed)</w:t>
      </w:r>
    </w:p>
    <w:p w14:paraId="628F0577" w14:textId="77777777" w:rsidR="00F017BE" w:rsidRPr="009A78F9" w:rsidRDefault="00BD7A3D" w:rsidP="00F017BE">
      <w:pPr>
        <w:pStyle w:val="Heading1"/>
      </w:pPr>
      <w:hyperlink r:id="rId17" w:history="1">
        <w:r w:rsidR="00F017BE" w:rsidRPr="009A78F9">
          <w:t xml:space="preserve">Guidance </w:t>
        </w:r>
        <w:proofErr w:type="gramStart"/>
        <w:r w:rsidR="00F017BE" w:rsidRPr="009A78F9">
          <w:t>For Drug Treatment Services In Grampian Undertaking Supply Of Naloxone To People At Risk Of</w:t>
        </w:r>
        <w:proofErr w:type="gramEnd"/>
        <w:r w:rsidR="00F017BE" w:rsidRPr="009A78F9">
          <w:t xml:space="preserve"> Opioid Overdose, Significant Others And Services In Contact With Those At Risk (nhsgrampian.org)</w:t>
        </w:r>
      </w:hyperlink>
    </w:p>
    <w:p w14:paraId="3415333C" w14:textId="20E81F27" w:rsidR="00DE5731" w:rsidRPr="00C543E3" w:rsidRDefault="30525786" w:rsidP="00C543E3">
      <w:pPr>
        <w:pStyle w:val="ListParagraph"/>
        <w:numPr>
          <w:ilvl w:val="1"/>
          <w:numId w:val="14"/>
        </w:numPr>
        <w:spacing w:before="60" w:after="60" w:line="254" w:lineRule="auto"/>
        <w:rPr>
          <w:rFonts w:ascii="Arial" w:eastAsia="Arial" w:hAnsi="Arial" w:cs="Arial"/>
          <w:color w:val="000000"/>
          <w:sz w:val="24"/>
          <w:szCs w:val="24"/>
          <w:lang w:eastAsia="en-GB"/>
        </w:rPr>
      </w:pPr>
      <w:r w:rsidRPr="00C543E3">
        <w:rPr>
          <w:rFonts w:ascii="Arial" w:eastAsia="Arial" w:hAnsi="Arial" w:cs="Arial"/>
          <w:color w:val="000000" w:themeColor="text1"/>
          <w:sz w:val="24"/>
          <w:szCs w:val="24"/>
          <w:lang w:eastAsia="en-GB"/>
        </w:rPr>
        <w:t xml:space="preserve">Information on training is provided in the </w:t>
      </w:r>
      <w:hyperlink r:id="rId18" w:history="1">
        <w:r w:rsidRPr="00C543E3">
          <w:rPr>
            <w:rStyle w:val="Hyperlink"/>
            <w:rFonts w:ascii="Arial" w:eastAsia="Arial" w:hAnsi="Arial" w:cs="Arial"/>
            <w:sz w:val="24"/>
            <w:szCs w:val="24"/>
            <w:lang w:eastAsia="en-GB"/>
          </w:rPr>
          <w:t>Grampian guidance document</w:t>
        </w:r>
      </w:hyperlink>
      <w:r w:rsidRPr="00C543E3">
        <w:rPr>
          <w:rFonts w:ascii="Arial" w:eastAsia="Arial" w:hAnsi="Arial" w:cs="Arial"/>
          <w:color w:val="000000" w:themeColor="text1"/>
          <w:sz w:val="24"/>
          <w:szCs w:val="24"/>
          <w:lang w:eastAsia="en-GB"/>
        </w:rPr>
        <w:t xml:space="preserve">.  </w:t>
      </w:r>
      <w:r w:rsidR="3CB111BB" w:rsidRPr="00C543E3">
        <w:rPr>
          <w:rFonts w:ascii="Arial" w:eastAsia="Arial" w:hAnsi="Arial" w:cs="Arial"/>
          <w:color w:val="000000" w:themeColor="text1"/>
          <w:sz w:val="24"/>
          <w:szCs w:val="24"/>
          <w:lang w:eastAsia="en-GB"/>
        </w:rPr>
        <w:t>The</w:t>
      </w:r>
      <w:r w:rsidRPr="00C543E3">
        <w:rPr>
          <w:rFonts w:ascii="Arial" w:eastAsia="Arial" w:hAnsi="Arial" w:cs="Arial"/>
          <w:color w:val="000000" w:themeColor="text1"/>
          <w:sz w:val="24"/>
          <w:szCs w:val="24"/>
          <w:lang w:eastAsia="en-GB"/>
        </w:rPr>
        <w:t xml:space="preserve"> </w:t>
      </w:r>
      <w:r w:rsidR="6A26AED3" w:rsidRPr="00C543E3">
        <w:rPr>
          <w:rFonts w:ascii="Arial" w:eastAsia="Arial" w:hAnsi="Arial" w:cs="Arial"/>
          <w:color w:val="000000" w:themeColor="text1"/>
          <w:sz w:val="24"/>
          <w:szCs w:val="24"/>
          <w:lang w:eastAsia="en-GB"/>
        </w:rPr>
        <w:t>D</w:t>
      </w:r>
      <w:r w:rsidRPr="00C543E3">
        <w:rPr>
          <w:rFonts w:ascii="Arial" w:eastAsia="Arial" w:hAnsi="Arial" w:cs="Arial"/>
          <w:color w:val="000000" w:themeColor="text1"/>
          <w:sz w:val="24"/>
          <w:szCs w:val="24"/>
          <w:lang w:eastAsia="en-GB"/>
        </w:rPr>
        <w:t xml:space="preserve">eclaration of </w:t>
      </w:r>
      <w:r w:rsidR="0FCC1559" w:rsidRPr="00C543E3">
        <w:rPr>
          <w:rFonts w:ascii="Arial" w:eastAsia="Arial" w:hAnsi="Arial" w:cs="Arial"/>
          <w:color w:val="000000" w:themeColor="text1"/>
          <w:sz w:val="24"/>
          <w:szCs w:val="24"/>
          <w:lang w:eastAsia="en-GB"/>
        </w:rPr>
        <w:t>C</w:t>
      </w:r>
      <w:r w:rsidRPr="00C543E3">
        <w:rPr>
          <w:rFonts w:ascii="Arial" w:eastAsia="Arial" w:hAnsi="Arial" w:cs="Arial"/>
          <w:color w:val="000000" w:themeColor="text1"/>
          <w:sz w:val="24"/>
          <w:szCs w:val="24"/>
          <w:lang w:eastAsia="en-GB"/>
        </w:rPr>
        <w:t xml:space="preserve">ompetence </w:t>
      </w:r>
      <w:r w:rsidR="141D04CB" w:rsidRPr="00C543E3">
        <w:rPr>
          <w:rFonts w:ascii="Arial" w:eastAsia="Arial" w:hAnsi="Arial" w:cs="Arial"/>
          <w:color w:val="000000" w:themeColor="text1"/>
          <w:sz w:val="24"/>
          <w:szCs w:val="24"/>
          <w:lang w:eastAsia="en-GB"/>
        </w:rPr>
        <w:t>should be competed for each member of staff trained.</w:t>
      </w:r>
    </w:p>
    <w:p w14:paraId="032141DB" w14:textId="1729E762" w:rsidR="6BEC2E8B" w:rsidRPr="00C543E3" w:rsidRDefault="6BEC2E8B" w:rsidP="00C543E3">
      <w:pPr>
        <w:pStyle w:val="ListParagraph"/>
        <w:numPr>
          <w:ilvl w:val="1"/>
          <w:numId w:val="14"/>
        </w:numPr>
        <w:spacing w:before="60" w:after="60" w:line="254" w:lineRule="auto"/>
        <w:rPr>
          <w:rFonts w:ascii="Arial" w:hAnsi="Arial" w:cs="Arial"/>
          <w:sz w:val="24"/>
          <w:szCs w:val="24"/>
        </w:rPr>
      </w:pPr>
      <w:r w:rsidRPr="00C543E3">
        <w:rPr>
          <w:rFonts w:ascii="Arial" w:eastAsia="Calibri" w:hAnsi="Arial" w:cs="Arial"/>
          <w:sz w:val="24"/>
          <w:szCs w:val="24"/>
        </w:rPr>
        <w:t>A suitable area in the pharmacy should be identified to ensure privacy and confidentiality is maintained whilst delivering the service.</w:t>
      </w:r>
    </w:p>
    <w:p w14:paraId="3B468E82" w14:textId="78B030EB" w:rsidR="00DE5731" w:rsidRPr="00C543E3" w:rsidRDefault="00DE5731" w:rsidP="00C543E3">
      <w:pPr>
        <w:pStyle w:val="ListParagraph"/>
        <w:numPr>
          <w:ilvl w:val="1"/>
          <w:numId w:val="14"/>
        </w:numPr>
        <w:spacing w:before="60" w:after="60" w:line="254" w:lineRule="auto"/>
        <w:rPr>
          <w:rFonts w:ascii="Arial" w:eastAsia="Arial" w:hAnsi="Arial" w:cs="Arial"/>
          <w:color w:val="000000"/>
          <w:sz w:val="24"/>
          <w:szCs w:val="24"/>
          <w:lang w:eastAsia="en-GB"/>
        </w:rPr>
      </w:pPr>
      <w:r w:rsidRPr="00C543E3">
        <w:rPr>
          <w:rFonts w:ascii="Arial" w:eastAsia="Arial" w:hAnsi="Arial" w:cs="Arial"/>
          <w:color w:val="000000"/>
          <w:sz w:val="24"/>
          <w:szCs w:val="24"/>
          <w:lang w:eastAsia="en-GB"/>
        </w:rPr>
        <w:t xml:space="preserve">Following training </w:t>
      </w:r>
      <w:proofErr w:type="spellStart"/>
      <w:r w:rsidR="00A26FD6">
        <w:rPr>
          <w:rFonts w:ascii="Arial" w:eastAsia="Arial" w:hAnsi="Arial" w:cs="Arial"/>
          <w:color w:val="000000"/>
          <w:sz w:val="24"/>
          <w:szCs w:val="24"/>
          <w:lang w:eastAsia="en-GB"/>
        </w:rPr>
        <w:t>gram.pharmaceuticalcareservices@nhs.scot</w:t>
      </w:r>
      <w:proofErr w:type="spellEnd"/>
      <w:r w:rsidRPr="00C543E3">
        <w:rPr>
          <w:rFonts w:ascii="Arial" w:eastAsia="Arial" w:hAnsi="Arial" w:cs="Arial"/>
          <w:color w:val="000000"/>
          <w:sz w:val="24"/>
          <w:szCs w:val="24"/>
          <w:lang w:eastAsia="en-GB"/>
        </w:rPr>
        <w:t xml:space="preserve"> should be contacted to set new naloxone pharmacies up on the electronic database (neo360</w:t>
      </w:r>
      <w:r w:rsidRPr="00C543E3">
        <w:rPr>
          <w:rFonts w:ascii="Arial" w:eastAsia="Arial" w:hAnsi="Arial" w:cs="Arial"/>
          <w:color w:val="000000"/>
          <w:sz w:val="24"/>
          <w:szCs w:val="24"/>
          <w:vertAlign w:val="superscript"/>
          <w:lang w:eastAsia="en-GB"/>
        </w:rPr>
        <w:t>®</w:t>
      </w:r>
      <w:r w:rsidRPr="00C543E3">
        <w:rPr>
          <w:rFonts w:ascii="Arial" w:eastAsia="Arial" w:hAnsi="Arial" w:cs="Arial"/>
          <w:color w:val="000000"/>
          <w:sz w:val="24"/>
          <w:szCs w:val="24"/>
          <w:lang w:eastAsia="en-GB"/>
        </w:rPr>
        <w:t>) or add staff names from existing nalo</w:t>
      </w:r>
      <w:r w:rsidR="00C543E3" w:rsidRPr="00C543E3">
        <w:rPr>
          <w:rFonts w:ascii="Arial" w:eastAsia="Arial" w:hAnsi="Arial" w:cs="Arial"/>
          <w:color w:val="000000"/>
          <w:sz w:val="24"/>
          <w:szCs w:val="24"/>
          <w:lang w:eastAsia="en-GB"/>
        </w:rPr>
        <w:t xml:space="preserve">xone pharmacies to the </w:t>
      </w:r>
      <w:bookmarkStart w:id="5" w:name="_GoBack"/>
      <w:r w:rsidR="00C543E3" w:rsidRPr="00C543E3">
        <w:rPr>
          <w:rFonts w:ascii="Arial" w:eastAsia="Arial" w:hAnsi="Arial" w:cs="Arial"/>
          <w:color w:val="000000"/>
          <w:sz w:val="24"/>
          <w:szCs w:val="24"/>
          <w:lang w:eastAsia="en-GB"/>
        </w:rPr>
        <w:t>system.</w:t>
      </w:r>
      <w:r w:rsidR="007207DB" w:rsidRPr="00C543E3">
        <w:rPr>
          <w:rFonts w:ascii="Arial" w:eastAsia="Arial" w:hAnsi="Arial" w:cs="Arial"/>
          <w:color w:val="000000"/>
          <w:sz w:val="24"/>
          <w:szCs w:val="24"/>
          <w:lang w:eastAsia="en-GB"/>
        </w:rPr>
        <w:t xml:space="preserve"> </w:t>
      </w:r>
    </w:p>
    <w:bookmarkEnd w:id="5"/>
    <w:p w14:paraId="305A168E" w14:textId="77777777" w:rsidR="007207DB" w:rsidRPr="00847742" w:rsidRDefault="007207DB" w:rsidP="00AE5F6B">
      <w:pPr>
        <w:spacing w:before="60" w:after="60" w:line="254" w:lineRule="auto"/>
        <w:ind w:left="-5" w:hanging="10"/>
        <w:rPr>
          <w:rFonts w:ascii="Arial" w:eastAsia="Arial" w:hAnsi="Arial" w:cs="Arial"/>
          <w:color w:val="000000"/>
          <w:sz w:val="24"/>
          <w:szCs w:val="24"/>
          <w:lang w:eastAsia="en-GB"/>
        </w:rPr>
      </w:pPr>
    </w:p>
    <w:p w14:paraId="53C1F2B4" w14:textId="7DB75B71" w:rsidR="00DE5731" w:rsidRPr="00847742" w:rsidRDefault="00DE5731" w:rsidP="00C543E3">
      <w:pPr>
        <w:pStyle w:val="Heading1"/>
        <w:rPr>
          <w:rFonts w:eastAsia="Calibri"/>
          <w:lang w:eastAsia="en-GB"/>
        </w:rPr>
      </w:pPr>
      <w:bookmarkStart w:id="6" w:name="_Toc66103599"/>
      <w:r w:rsidRPr="00EF2475">
        <w:rPr>
          <w:rFonts w:eastAsia="Arial"/>
          <w:lang w:eastAsia="en-GB"/>
        </w:rPr>
        <w:t>Monitoring &amp; evaluation</w:t>
      </w:r>
      <w:bookmarkEnd w:id="6"/>
      <w:r w:rsidRPr="00847742">
        <w:rPr>
          <w:rFonts w:eastAsia="Arial"/>
          <w:lang w:eastAsia="en-GB"/>
        </w:rPr>
        <w:t xml:space="preserve">  </w:t>
      </w:r>
    </w:p>
    <w:p w14:paraId="3F3AD564" w14:textId="77777777" w:rsidR="00EF2475" w:rsidRDefault="00EF2475" w:rsidP="00AE5F6B">
      <w:pPr>
        <w:spacing w:before="60" w:after="60" w:line="254" w:lineRule="auto"/>
        <w:ind w:left="10" w:hanging="10"/>
        <w:rPr>
          <w:rFonts w:ascii="Arial" w:eastAsia="Arial" w:hAnsi="Arial" w:cs="Arial"/>
          <w:color w:val="000000"/>
          <w:sz w:val="24"/>
          <w:szCs w:val="24"/>
          <w:lang w:eastAsia="en-GB"/>
        </w:rPr>
      </w:pPr>
    </w:p>
    <w:p w14:paraId="5E575745" w14:textId="4ED9888A" w:rsidR="00AE5F6B" w:rsidRPr="00C543E3" w:rsidRDefault="00DE5731" w:rsidP="00C543E3">
      <w:pPr>
        <w:pStyle w:val="ListParagraph"/>
        <w:numPr>
          <w:ilvl w:val="1"/>
          <w:numId w:val="14"/>
        </w:numPr>
        <w:spacing w:before="60" w:after="60" w:line="254" w:lineRule="auto"/>
        <w:rPr>
          <w:rFonts w:ascii="Arial" w:eastAsia="Arial" w:hAnsi="Arial" w:cs="Arial"/>
          <w:color w:val="000000"/>
          <w:sz w:val="24"/>
          <w:szCs w:val="24"/>
          <w:lang w:eastAsia="en-GB"/>
        </w:rPr>
      </w:pPr>
      <w:r w:rsidRPr="00C543E3">
        <w:rPr>
          <w:rFonts w:ascii="Arial" w:eastAsia="Arial" w:hAnsi="Arial" w:cs="Arial"/>
          <w:color w:val="000000"/>
          <w:sz w:val="24"/>
          <w:szCs w:val="24"/>
          <w:lang w:eastAsia="en-GB"/>
        </w:rPr>
        <w:t xml:space="preserve">It is a requirement of the service that appropriate records are kept and maintained by the pharmacy contractor, to enable verification of service provision and training undertaken by staff members. </w:t>
      </w:r>
    </w:p>
    <w:p w14:paraId="5EFEE137" w14:textId="0DB52315" w:rsidR="00DE5731" w:rsidRPr="00C543E3" w:rsidRDefault="00C543E3" w:rsidP="00C543E3">
      <w:pPr>
        <w:pStyle w:val="ListParagraph"/>
        <w:numPr>
          <w:ilvl w:val="1"/>
          <w:numId w:val="14"/>
        </w:numPr>
        <w:spacing w:before="60" w:after="60" w:line="254" w:lineRule="auto"/>
        <w:rPr>
          <w:rFonts w:ascii="Arial" w:eastAsia="Calibri" w:hAnsi="Arial" w:cs="Arial"/>
          <w:color w:val="000000"/>
          <w:sz w:val="24"/>
          <w:szCs w:val="24"/>
          <w:lang w:eastAsia="en-GB"/>
        </w:rPr>
      </w:pPr>
      <w:r w:rsidRPr="00C543E3">
        <w:rPr>
          <w:rFonts w:ascii="Arial" w:eastAsia="Arial" w:hAnsi="Arial" w:cs="Arial"/>
          <w:color w:val="000000" w:themeColor="text1"/>
          <w:sz w:val="24"/>
          <w:szCs w:val="24"/>
          <w:lang w:eastAsia="en-GB"/>
        </w:rPr>
        <w:t>T</w:t>
      </w:r>
      <w:r w:rsidR="00DE5731" w:rsidRPr="00C543E3">
        <w:rPr>
          <w:rFonts w:ascii="Arial" w:eastAsia="Arial" w:hAnsi="Arial" w:cs="Arial"/>
          <w:color w:val="000000" w:themeColor="text1"/>
          <w:sz w:val="24"/>
          <w:szCs w:val="24"/>
          <w:lang w:eastAsia="en-GB"/>
        </w:rPr>
        <w:t xml:space="preserve">he Record of Training and Supply (where information is not entered </w:t>
      </w:r>
      <w:r w:rsidR="00002FDE" w:rsidRPr="00C543E3">
        <w:rPr>
          <w:rFonts w:ascii="Arial" w:eastAsia="Arial" w:hAnsi="Arial" w:cs="Arial"/>
          <w:color w:val="000000" w:themeColor="text1"/>
          <w:sz w:val="24"/>
          <w:szCs w:val="24"/>
          <w:lang w:eastAsia="en-GB"/>
        </w:rPr>
        <w:t xml:space="preserve">directly </w:t>
      </w:r>
      <w:r w:rsidR="00DE5731" w:rsidRPr="00C543E3">
        <w:rPr>
          <w:rFonts w:ascii="Arial" w:eastAsia="Arial" w:hAnsi="Arial" w:cs="Arial"/>
          <w:color w:val="000000" w:themeColor="text1"/>
          <w:sz w:val="24"/>
          <w:szCs w:val="24"/>
          <w:lang w:eastAsia="en-GB"/>
        </w:rPr>
        <w:t>into neo360</w:t>
      </w:r>
      <w:r w:rsidR="00DE5731" w:rsidRPr="00C543E3">
        <w:rPr>
          <w:rFonts w:ascii="Arial" w:eastAsia="Arial" w:hAnsi="Arial" w:cs="Arial"/>
          <w:color w:val="000000" w:themeColor="text1"/>
          <w:sz w:val="24"/>
          <w:szCs w:val="24"/>
          <w:vertAlign w:val="superscript"/>
          <w:lang w:eastAsia="en-GB"/>
        </w:rPr>
        <w:t>®</w:t>
      </w:r>
      <w:r w:rsidR="00DE5731" w:rsidRPr="00C543E3">
        <w:rPr>
          <w:rFonts w:ascii="Arial" w:eastAsia="Arial" w:hAnsi="Arial" w:cs="Arial"/>
          <w:color w:val="000000" w:themeColor="text1"/>
          <w:sz w:val="24"/>
          <w:szCs w:val="24"/>
          <w:lang w:eastAsia="en-GB"/>
        </w:rPr>
        <w:t xml:space="preserve"> at point of transaction) and</w:t>
      </w:r>
      <w:r w:rsidR="007207DB" w:rsidRPr="00C543E3">
        <w:rPr>
          <w:rFonts w:ascii="Arial" w:eastAsia="Calibri" w:hAnsi="Arial" w:cs="Arial"/>
          <w:sz w:val="24"/>
          <w:szCs w:val="24"/>
        </w:rPr>
        <w:t xml:space="preserve"> </w:t>
      </w:r>
      <w:r w:rsidR="51C41272" w:rsidRPr="00C543E3">
        <w:rPr>
          <w:rFonts w:ascii="Arial" w:eastAsia="Calibri" w:hAnsi="Arial" w:cs="Arial"/>
          <w:sz w:val="24"/>
          <w:szCs w:val="24"/>
        </w:rPr>
        <w:t>Take</w:t>
      </w:r>
      <w:r w:rsidR="007207DB" w:rsidRPr="00C543E3">
        <w:rPr>
          <w:rFonts w:ascii="Arial" w:eastAsia="Calibri" w:hAnsi="Arial" w:cs="Arial"/>
          <w:sz w:val="24"/>
          <w:szCs w:val="24"/>
        </w:rPr>
        <w:t xml:space="preserve"> Home Naloxone Key Points Sheet</w:t>
      </w:r>
      <w:r w:rsidR="00DE5731" w:rsidRPr="00C543E3">
        <w:rPr>
          <w:rFonts w:ascii="Arial" w:eastAsia="Arial" w:hAnsi="Arial" w:cs="Arial"/>
          <w:color w:val="000000" w:themeColor="text1"/>
          <w:sz w:val="24"/>
          <w:szCs w:val="24"/>
          <w:lang w:eastAsia="en-GB"/>
        </w:rPr>
        <w:t xml:space="preserve"> should be c</w:t>
      </w:r>
      <w:r w:rsidR="00271BA2" w:rsidRPr="00C543E3">
        <w:rPr>
          <w:rFonts w:ascii="Arial" w:eastAsia="Arial" w:hAnsi="Arial" w:cs="Arial"/>
          <w:color w:val="000000" w:themeColor="text1"/>
          <w:sz w:val="24"/>
          <w:szCs w:val="24"/>
          <w:lang w:eastAsia="en-GB"/>
        </w:rPr>
        <w:t>overed with each person</w:t>
      </w:r>
      <w:r w:rsidR="00DE5731" w:rsidRPr="00C543E3">
        <w:rPr>
          <w:rFonts w:ascii="Arial" w:eastAsia="Arial" w:hAnsi="Arial" w:cs="Arial"/>
          <w:color w:val="000000" w:themeColor="text1"/>
          <w:sz w:val="24"/>
          <w:szCs w:val="24"/>
          <w:lang w:eastAsia="en-GB"/>
        </w:rPr>
        <w:t xml:space="preserve"> for each supply and “record of supply” stored securely and confidentially. The </w:t>
      </w:r>
      <w:r w:rsidR="007207DB" w:rsidRPr="00C543E3">
        <w:rPr>
          <w:rFonts w:ascii="Arial" w:eastAsia="Arial" w:hAnsi="Arial" w:cs="Arial"/>
          <w:color w:val="000000" w:themeColor="text1"/>
          <w:sz w:val="24"/>
          <w:szCs w:val="24"/>
          <w:lang w:eastAsia="en-GB"/>
        </w:rPr>
        <w:t>pharmacy</w:t>
      </w:r>
      <w:r w:rsidR="00DE5731" w:rsidRPr="00C543E3">
        <w:rPr>
          <w:rFonts w:ascii="Arial" w:eastAsia="Arial" w:hAnsi="Arial" w:cs="Arial"/>
          <w:color w:val="000000" w:themeColor="text1"/>
          <w:sz w:val="24"/>
          <w:szCs w:val="24"/>
          <w:lang w:eastAsia="en-GB"/>
        </w:rPr>
        <w:t xml:space="preserve"> may be required to produce this document for payment verification purposes.  </w:t>
      </w:r>
    </w:p>
    <w:p w14:paraId="36D6F2CE" w14:textId="2628391D" w:rsidR="00DE5731" w:rsidRPr="00C543E3" w:rsidRDefault="00DE5731" w:rsidP="00C543E3">
      <w:pPr>
        <w:pStyle w:val="ListParagraph"/>
        <w:numPr>
          <w:ilvl w:val="1"/>
          <w:numId w:val="14"/>
        </w:numPr>
        <w:spacing w:before="60" w:after="60" w:line="254" w:lineRule="auto"/>
        <w:rPr>
          <w:rFonts w:ascii="Arial" w:eastAsia="Arial" w:hAnsi="Arial" w:cs="Arial"/>
          <w:color w:val="000000"/>
          <w:sz w:val="24"/>
          <w:szCs w:val="24"/>
          <w:lang w:eastAsia="en-GB"/>
        </w:rPr>
      </w:pPr>
      <w:r w:rsidRPr="00C543E3">
        <w:rPr>
          <w:rFonts w:ascii="Arial" w:eastAsia="Arial" w:hAnsi="Arial" w:cs="Arial"/>
          <w:color w:val="000000"/>
          <w:sz w:val="24"/>
          <w:szCs w:val="24"/>
          <w:lang w:eastAsia="en-GB"/>
        </w:rPr>
        <w:t>Data is monitored both locally by NHS Grampian and the Alcohol and Drug Partnerships and nationally by Information Services Division through analysis of neo360</w:t>
      </w:r>
      <w:r w:rsidRPr="00C543E3">
        <w:rPr>
          <w:rFonts w:ascii="Arial" w:eastAsia="Arial" w:hAnsi="Arial" w:cs="Arial"/>
          <w:color w:val="000000"/>
          <w:sz w:val="24"/>
          <w:szCs w:val="24"/>
          <w:vertAlign w:val="superscript"/>
          <w:lang w:eastAsia="en-GB"/>
        </w:rPr>
        <w:t>®</w:t>
      </w:r>
      <w:r w:rsidRPr="00C543E3">
        <w:rPr>
          <w:rFonts w:ascii="Arial" w:eastAsia="Arial" w:hAnsi="Arial" w:cs="Arial"/>
          <w:color w:val="000000"/>
          <w:sz w:val="24"/>
          <w:szCs w:val="24"/>
          <w:lang w:eastAsia="en-GB"/>
        </w:rPr>
        <w:t xml:space="preserve"> data. Clients should be advised of the following and invited to consent that:</w:t>
      </w:r>
    </w:p>
    <w:p w14:paraId="6F2D8CCB" w14:textId="77777777" w:rsidR="00DE5731" w:rsidRPr="00C543E3" w:rsidRDefault="00DE5731" w:rsidP="00C543E3">
      <w:pPr>
        <w:pStyle w:val="ListParagraph"/>
        <w:numPr>
          <w:ilvl w:val="0"/>
          <w:numId w:val="16"/>
        </w:numPr>
        <w:spacing w:before="60" w:after="60" w:line="254" w:lineRule="auto"/>
        <w:rPr>
          <w:rFonts w:ascii="Arial" w:eastAsia="Calibri" w:hAnsi="Arial" w:cs="Arial"/>
          <w:color w:val="000000"/>
          <w:sz w:val="24"/>
          <w:szCs w:val="24"/>
          <w:lang w:eastAsia="en-GB"/>
        </w:rPr>
      </w:pPr>
      <w:r w:rsidRPr="00C543E3">
        <w:rPr>
          <w:rFonts w:ascii="Arial" w:eastAsia="Arial" w:hAnsi="Arial" w:cs="Arial"/>
          <w:color w:val="000000"/>
          <w:sz w:val="24"/>
          <w:szCs w:val="24"/>
          <w:lang w:eastAsia="en-GB"/>
        </w:rPr>
        <w:t xml:space="preserve">Details of training/supply will be recorded and held confidentially on the NHS Grampian electronic database (neo 360).  </w:t>
      </w:r>
    </w:p>
    <w:p w14:paraId="7E939D40" w14:textId="77777777" w:rsidR="00002FDE" w:rsidRPr="00C543E3" w:rsidRDefault="00DE5731" w:rsidP="00C543E3">
      <w:pPr>
        <w:pStyle w:val="ListParagraph"/>
        <w:numPr>
          <w:ilvl w:val="0"/>
          <w:numId w:val="16"/>
        </w:numPr>
        <w:spacing w:before="60" w:after="60" w:line="254" w:lineRule="auto"/>
        <w:rPr>
          <w:rFonts w:ascii="Arial" w:eastAsia="Calibri" w:hAnsi="Arial" w:cs="Arial"/>
          <w:color w:val="000000"/>
          <w:sz w:val="24"/>
          <w:szCs w:val="24"/>
          <w:lang w:eastAsia="en-GB"/>
        </w:rPr>
      </w:pPr>
      <w:r w:rsidRPr="00C543E3">
        <w:rPr>
          <w:rFonts w:ascii="Arial" w:eastAsia="Arial" w:hAnsi="Arial" w:cs="Arial"/>
          <w:color w:val="000000"/>
          <w:sz w:val="24"/>
          <w:szCs w:val="24"/>
          <w:lang w:eastAsia="en-GB"/>
        </w:rPr>
        <w:t xml:space="preserve">Data will be shared anonymously with the NHS for purpose of reporting and research.  </w:t>
      </w:r>
    </w:p>
    <w:p w14:paraId="417F3E48" w14:textId="5B50FD95" w:rsidR="00DE5731" w:rsidRDefault="00002FDE" w:rsidP="00C543E3">
      <w:pPr>
        <w:spacing w:before="60" w:after="60" w:line="254" w:lineRule="auto"/>
        <w:ind w:left="720"/>
        <w:contextualSpacing/>
        <w:rPr>
          <w:rFonts w:ascii="Arial" w:eastAsia="Arial" w:hAnsi="Arial" w:cs="Arial"/>
          <w:color w:val="000000"/>
          <w:sz w:val="24"/>
          <w:szCs w:val="24"/>
          <w:lang w:eastAsia="en-GB"/>
        </w:rPr>
      </w:pPr>
      <w:r>
        <w:rPr>
          <w:rFonts w:ascii="Arial" w:eastAsia="Arial" w:hAnsi="Arial" w:cs="Arial"/>
          <w:color w:val="000000"/>
          <w:sz w:val="24"/>
          <w:szCs w:val="24"/>
          <w:lang w:eastAsia="en-GB"/>
        </w:rPr>
        <w:t>When consent is gained the “Data Sharing Consent” tick-box at the bottom of the patient details tab on neo must be ticked as follows.</w:t>
      </w:r>
    </w:p>
    <w:p w14:paraId="5C2039A9" w14:textId="77777777" w:rsidR="00002FDE" w:rsidRPr="00847742" w:rsidRDefault="00002FDE" w:rsidP="00EF2475">
      <w:pPr>
        <w:spacing w:before="60" w:after="60" w:line="254" w:lineRule="auto"/>
        <w:ind w:left="10"/>
        <w:contextualSpacing/>
        <w:rPr>
          <w:rFonts w:ascii="Arial" w:eastAsia="Calibri" w:hAnsi="Arial" w:cs="Arial"/>
          <w:color w:val="000000"/>
          <w:sz w:val="24"/>
          <w:szCs w:val="24"/>
          <w:lang w:eastAsia="en-GB"/>
        </w:rPr>
      </w:pPr>
    </w:p>
    <w:p w14:paraId="0A18637C" w14:textId="70857413" w:rsidR="00002FDE" w:rsidRDefault="00002FDE" w:rsidP="00AE5F6B">
      <w:pPr>
        <w:spacing w:before="60" w:after="60" w:line="254" w:lineRule="auto"/>
        <w:ind w:left="10" w:hanging="10"/>
        <w:rPr>
          <w:rFonts w:ascii="Arial" w:eastAsia="Arial" w:hAnsi="Arial" w:cs="Arial"/>
          <w:color w:val="000000"/>
          <w:sz w:val="24"/>
          <w:szCs w:val="24"/>
          <w:lang w:eastAsia="en-GB"/>
        </w:rPr>
      </w:pPr>
      <w:r>
        <w:rPr>
          <w:noProof/>
          <w:lang w:eastAsia="en-GB"/>
        </w:rPr>
        <mc:AlternateContent>
          <mc:Choice Requires="wps">
            <w:drawing>
              <wp:anchor distT="0" distB="0" distL="114300" distR="114300" simplePos="0" relativeHeight="251659264" behindDoc="0" locked="0" layoutInCell="1" allowOverlap="1" wp14:anchorId="4AC2E0C8" wp14:editId="418D9CCF">
                <wp:simplePos x="0" y="0"/>
                <wp:positionH relativeFrom="column">
                  <wp:posOffset>-69850</wp:posOffset>
                </wp:positionH>
                <wp:positionV relativeFrom="paragraph">
                  <wp:posOffset>377825</wp:posOffset>
                </wp:positionV>
                <wp:extent cx="387350" cy="361950"/>
                <wp:effectExtent l="0" t="0" r="12700" b="19050"/>
                <wp:wrapNone/>
                <wp:docPr id="2" name="Oval 2"/>
                <wp:cNvGraphicFramePr/>
                <a:graphic xmlns:a="http://schemas.openxmlformats.org/drawingml/2006/main">
                  <a:graphicData uri="http://schemas.microsoft.com/office/word/2010/wordprocessingShape">
                    <wps:wsp>
                      <wps:cNvSpPr/>
                      <wps:spPr>
                        <a:xfrm>
                          <a:off x="0" y="0"/>
                          <a:ext cx="387350" cy="361950"/>
                        </a:xfrm>
                        <a:prstGeom prst="ellipse">
                          <a:avLst/>
                        </a:prstGeom>
                        <a:noFill/>
                        <a:ln w="2222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7ADBBE" id="Oval 2" o:spid="_x0000_s1026" style="position:absolute;margin-left:-5.5pt;margin-top:29.75pt;width:30.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" filled="f" strokecolor="#70ad47 [3209]" strokeweight="1.75pt">
                <v:stroke joinstyle="miter"/>
              </v:oval>
            </w:pict>
          </mc:Fallback>
        </mc:AlternateContent>
      </w:r>
      <w:r>
        <w:rPr>
          <w:noProof/>
          <w:lang w:eastAsia="en-GB"/>
        </w:rPr>
        <w:drawing>
          <wp:inline distT="0" distB="0" distL="0" distR="0" wp14:anchorId="612DC5B6" wp14:editId="6A7D1875">
            <wp:extent cx="5731510" cy="6813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681355"/>
                    </a:xfrm>
                    <a:prstGeom prst="rect">
                      <a:avLst/>
                    </a:prstGeom>
                  </pic:spPr>
                </pic:pic>
              </a:graphicData>
            </a:graphic>
          </wp:inline>
        </w:drawing>
      </w:r>
    </w:p>
    <w:p w14:paraId="498537C8" w14:textId="77777777" w:rsidR="00DE5731" w:rsidRPr="00847742" w:rsidRDefault="00DE5731" w:rsidP="00AE5F6B">
      <w:pPr>
        <w:spacing w:before="60" w:after="60" w:line="254" w:lineRule="auto"/>
        <w:ind w:left="10" w:hanging="10"/>
        <w:rPr>
          <w:rFonts w:ascii="Arial" w:eastAsia="Calibri" w:hAnsi="Arial" w:cs="Arial"/>
          <w:color w:val="000000"/>
          <w:sz w:val="24"/>
          <w:szCs w:val="24"/>
          <w:lang w:eastAsia="en-GB"/>
        </w:rPr>
      </w:pPr>
      <w:r w:rsidRPr="00847742">
        <w:rPr>
          <w:rFonts w:ascii="Arial" w:eastAsia="Arial" w:hAnsi="Arial" w:cs="Arial"/>
          <w:color w:val="000000"/>
          <w:sz w:val="24"/>
          <w:szCs w:val="24"/>
          <w:lang w:eastAsia="en-GB"/>
        </w:rPr>
        <w:t xml:space="preserve"> </w:t>
      </w:r>
    </w:p>
    <w:p w14:paraId="16B9D584" w14:textId="21FE52F4" w:rsidR="00DE5731" w:rsidRPr="00C543E3" w:rsidRDefault="007207DB" w:rsidP="00C543E3">
      <w:pPr>
        <w:pStyle w:val="ListParagraph"/>
        <w:numPr>
          <w:ilvl w:val="1"/>
          <w:numId w:val="14"/>
        </w:numPr>
        <w:spacing w:before="60" w:after="60" w:line="254" w:lineRule="auto"/>
        <w:rPr>
          <w:rFonts w:ascii="Arial" w:eastAsia="Calibri" w:hAnsi="Arial" w:cs="Arial"/>
          <w:color w:val="000000"/>
          <w:sz w:val="24"/>
          <w:szCs w:val="24"/>
          <w:lang w:eastAsia="en-GB"/>
        </w:rPr>
      </w:pPr>
      <w:r w:rsidRPr="00C543E3">
        <w:rPr>
          <w:rFonts w:ascii="Arial" w:eastAsia="Arial" w:hAnsi="Arial" w:cs="Arial"/>
          <w:color w:val="000000"/>
          <w:sz w:val="24"/>
          <w:szCs w:val="24"/>
          <w:lang w:eastAsia="en-GB"/>
        </w:rPr>
        <w:t>P</w:t>
      </w:r>
      <w:r w:rsidR="00DE5731" w:rsidRPr="00C543E3">
        <w:rPr>
          <w:rFonts w:ascii="Arial" w:eastAsia="Arial" w:hAnsi="Arial" w:cs="Arial"/>
          <w:color w:val="000000"/>
          <w:sz w:val="24"/>
          <w:szCs w:val="24"/>
          <w:lang w:eastAsia="en-GB"/>
        </w:rPr>
        <w:t xml:space="preserve">harmacies </w:t>
      </w:r>
      <w:r w:rsidRPr="00C543E3">
        <w:rPr>
          <w:rFonts w:ascii="Arial" w:eastAsia="Arial" w:hAnsi="Arial" w:cs="Arial"/>
          <w:color w:val="000000"/>
          <w:sz w:val="24"/>
          <w:szCs w:val="24"/>
          <w:lang w:eastAsia="en-GB"/>
        </w:rPr>
        <w:t>may be required</w:t>
      </w:r>
      <w:r w:rsidR="00DE5731" w:rsidRPr="00C543E3">
        <w:rPr>
          <w:rFonts w:ascii="Arial" w:eastAsia="Arial" w:hAnsi="Arial" w:cs="Arial"/>
          <w:color w:val="000000"/>
          <w:sz w:val="24"/>
          <w:szCs w:val="24"/>
          <w:lang w:eastAsia="en-GB"/>
        </w:rPr>
        <w:t xml:space="preserve"> to participate in service evaluation and audit.  </w:t>
      </w:r>
    </w:p>
    <w:p w14:paraId="7240E4F8" w14:textId="1FADFD78" w:rsidR="00DE5731" w:rsidRPr="00847742" w:rsidRDefault="00DE5731" w:rsidP="00AE5F6B">
      <w:pPr>
        <w:spacing w:before="60" w:after="60" w:line="254" w:lineRule="auto"/>
        <w:ind w:left="10" w:hanging="10"/>
        <w:rPr>
          <w:rFonts w:ascii="Arial" w:eastAsia="Calibri" w:hAnsi="Arial" w:cs="Arial"/>
          <w:color w:val="000000"/>
          <w:sz w:val="24"/>
          <w:szCs w:val="24"/>
          <w:lang w:eastAsia="en-GB"/>
        </w:rPr>
      </w:pPr>
    </w:p>
    <w:p w14:paraId="3E9CEAE4" w14:textId="01BA19BF" w:rsidR="00DE5731" w:rsidRPr="00847742" w:rsidRDefault="00DE5731" w:rsidP="00C543E3">
      <w:pPr>
        <w:pStyle w:val="Heading1"/>
        <w:rPr>
          <w:rFonts w:eastAsia="Calibri"/>
          <w:lang w:eastAsia="en-GB"/>
        </w:rPr>
      </w:pPr>
      <w:bookmarkStart w:id="7" w:name="_Toc66103600"/>
      <w:r w:rsidRPr="00EF2475">
        <w:rPr>
          <w:rFonts w:eastAsia="Arial"/>
          <w:lang w:eastAsia="en-GB"/>
        </w:rPr>
        <w:t>Claims and payment</w:t>
      </w:r>
      <w:bookmarkEnd w:id="7"/>
      <w:r w:rsidRPr="00847742">
        <w:rPr>
          <w:rFonts w:eastAsia="Arial"/>
          <w:lang w:eastAsia="en-GB"/>
        </w:rPr>
        <w:t xml:space="preserve">  </w:t>
      </w:r>
    </w:p>
    <w:p w14:paraId="24EBFCC7" w14:textId="5B7A6756" w:rsidR="00DE5731" w:rsidRPr="00847742" w:rsidRDefault="00DE5731" w:rsidP="00AE5F6B">
      <w:pPr>
        <w:spacing w:before="60" w:after="60" w:line="254" w:lineRule="auto"/>
        <w:ind w:left="10" w:hanging="10"/>
        <w:rPr>
          <w:rFonts w:ascii="Arial" w:eastAsia="Calibri" w:hAnsi="Arial" w:cs="Arial"/>
          <w:color w:val="000000"/>
          <w:sz w:val="24"/>
          <w:szCs w:val="24"/>
          <w:lang w:eastAsia="en-GB"/>
        </w:rPr>
      </w:pPr>
    </w:p>
    <w:p w14:paraId="20B959CA" w14:textId="243931CC" w:rsidR="007207DB" w:rsidRPr="00C543E3" w:rsidRDefault="007207DB" w:rsidP="00C543E3">
      <w:pPr>
        <w:pStyle w:val="ListParagraph"/>
        <w:numPr>
          <w:ilvl w:val="1"/>
          <w:numId w:val="14"/>
        </w:numPr>
        <w:spacing w:before="60" w:after="60" w:line="254" w:lineRule="auto"/>
        <w:rPr>
          <w:rFonts w:ascii="Arial" w:eastAsia="Arial" w:hAnsi="Arial" w:cs="Arial"/>
          <w:color w:val="000000"/>
          <w:sz w:val="24"/>
          <w:szCs w:val="24"/>
          <w:lang w:eastAsia="en-GB"/>
        </w:rPr>
      </w:pPr>
      <w:r w:rsidRPr="00C543E3">
        <w:rPr>
          <w:rFonts w:ascii="Arial" w:eastAsia="Arial" w:hAnsi="Arial" w:cs="Arial"/>
          <w:color w:val="000000"/>
          <w:sz w:val="24"/>
          <w:szCs w:val="24"/>
          <w:lang w:eastAsia="en-GB"/>
        </w:rPr>
        <w:t>Supplies made to individuals who use the Level 1 SMS provision in community pharmacy are reimbursed for this service through their monthly patient fee for SMS patients.</w:t>
      </w:r>
    </w:p>
    <w:p w14:paraId="0C4D30DE" w14:textId="6AB3196F" w:rsidR="00DE5731" w:rsidRPr="00C543E3" w:rsidRDefault="007207DB" w:rsidP="00C543E3">
      <w:pPr>
        <w:pStyle w:val="ListParagraph"/>
        <w:numPr>
          <w:ilvl w:val="1"/>
          <w:numId w:val="14"/>
        </w:numPr>
        <w:spacing w:before="60" w:after="60" w:line="254" w:lineRule="auto"/>
        <w:rPr>
          <w:rFonts w:ascii="Arial" w:eastAsia="Arial" w:hAnsi="Arial" w:cs="Arial"/>
          <w:color w:val="000000"/>
          <w:sz w:val="24"/>
          <w:szCs w:val="24"/>
          <w:lang w:eastAsia="en-GB"/>
        </w:rPr>
      </w:pPr>
      <w:r w:rsidRPr="00C543E3">
        <w:rPr>
          <w:rFonts w:ascii="Arial" w:eastAsia="Arial" w:hAnsi="Arial" w:cs="Arial"/>
          <w:color w:val="000000"/>
          <w:sz w:val="24"/>
          <w:szCs w:val="24"/>
          <w:lang w:eastAsia="en-GB"/>
        </w:rPr>
        <w:t xml:space="preserve">Supplies made to individuals who do not use the level 1 SMS provision in community pharmacy may be claimed using </w:t>
      </w:r>
      <w:r w:rsidR="00F44BFC" w:rsidRPr="00C543E3">
        <w:rPr>
          <w:rFonts w:ascii="Arial" w:eastAsia="Arial" w:hAnsi="Arial" w:cs="Arial"/>
          <w:color w:val="000000"/>
          <w:sz w:val="24"/>
          <w:szCs w:val="24"/>
          <w:lang w:eastAsia="en-GB"/>
        </w:rPr>
        <w:t>the PCCT claim workbook</w:t>
      </w:r>
      <w:r w:rsidRPr="00C543E3">
        <w:rPr>
          <w:rFonts w:ascii="Arial" w:eastAsia="Arial" w:hAnsi="Arial" w:cs="Arial"/>
          <w:color w:val="000000"/>
          <w:sz w:val="24"/>
          <w:szCs w:val="24"/>
          <w:lang w:eastAsia="en-GB"/>
        </w:rPr>
        <w:t xml:space="preserve"> by 7</w:t>
      </w:r>
      <w:r w:rsidRPr="00C543E3">
        <w:rPr>
          <w:rFonts w:ascii="Arial" w:eastAsia="Arial" w:hAnsi="Arial" w:cs="Arial"/>
          <w:color w:val="000000"/>
          <w:sz w:val="24"/>
          <w:szCs w:val="24"/>
          <w:vertAlign w:val="superscript"/>
          <w:lang w:eastAsia="en-GB"/>
        </w:rPr>
        <w:t>th</w:t>
      </w:r>
      <w:r w:rsidRPr="00C543E3">
        <w:rPr>
          <w:rFonts w:ascii="Arial" w:eastAsia="Arial" w:hAnsi="Arial" w:cs="Arial"/>
          <w:color w:val="000000"/>
          <w:sz w:val="24"/>
          <w:szCs w:val="24"/>
          <w:lang w:eastAsia="en-GB"/>
        </w:rPr>
        <w:t xml:space="preserve"> of the following month</w:t>
      </w:r>
      <w:r w:rsidR="00F44BFC" w:rsidRPr="00C543E3">
        <w:rPr>
          <w:rFonts w:ascii="Arial" w:eastAsia="Arial" w:hAnsi="Arial" w:cs="Arial"/>
          <w:color w:val="000000"/>
          <w:sz w:val="24"/>
          <w:szCs w:val="24"/>
          <w:lang w:eastAsia="en-GB"/>
        </w:rPr>
        <w:t xml:space="preserve"> for payment</w:t>
      </w:r>
      <w:r w:rsidRPr="00C543E3">
        <w:rPr>
          <w:rFonts w:ascii="Arial" w:eastAsia="Arial" w:hAnsi="Arial" w:cs="Arial"/>
          <w:color w:val="000000"/>
          <w:sz w:val="24"/>
          <w:szCs w:val="24"/>
          <w:lang w:eastAsia="en-GB"/>
        </w:rPr>
        <w:t>.</w:t>
      </w:r>
      <w:r w:rsidR="00F44BFC" w:rsidRPr="00C543E3">
        <w:rPr>
          <w:rFonts w:ascii="Arial" w:eastAsia="Arial" w:hAnsi="Arial" w:cs="Arial"/>
          <w:color w:val="000000"/>
          <w:sz w:val="24"/>
          <w:szCs w:val="24"/>
          <w:lang w:eastAsia="en-GB"/>
        </w:rPr>
        <w:t xml:space="preserve"> Payment is awarded at £15 per training and supply of naloxone made. Wholesaler invoices should be submitted for the reimbursement of stock costs.</w:t>
      </w:r>
    </w:p>
    <w:p w14:paraId="7D4779DA" w14:textId="2AD9E97C" w:rsidR="00F44BFC" w:rsidRPr="00C543E3" w:rsidRDefault="00F44BFC" w:rsidP="00C543E3">
      <w:pPr>
        <w:pStyle w:val="ListParagraph"/>
        <w:numPr>
          <w:ilvl w:val="1"/>
          <w:numId w:val="14"/>
        </w:numPr>
        <w:spacing w:before="60" w:after="60" w:line="254" w:lineRule="auto"/>
        <w:rPr>
          <w:rFonts w:ascii="Arial" w:eastAsia="Arial" w:hAnsi="Arial" w:cs="Arial"/>
          <w:color w:val="000000"/>
          <w:sz w:val="24"/>
          <w:szCs w:val="24"/>
          <w:lang w:eastAsia="en-GB"/>
        </w:rPr>
      </w:pPr>
      <w:r w:rsidRPr="00C543E3">
        <w:rPr>
          <w:rFonts w:ascii="Arial" w:eastAsia="Arial" w:hAnsi="Arial" w:cs="Arial"/>
          <w:color w:val="000000"/>
          <w:sz w:val="24"/>
          <w:szCs w:val="24"/>
          <w:lang w:eastAsia="en-GB"/>
        </w:rPr>
        <w:t xml:space="preserve">All payments made are on the premise that the checklist has been completed. Payments will be subject to periodic verification by PCC and PCS teams. </w:t>
      </w:r>
    </w:p>
    <w:p w14:paraId="36187685" w14:textId="77777777" w:rsidR="007207DB" w:rsidRPr="00847742" w:rsidRDefault="007207DB" w:rsidP="00AE5F6B">
      <w:pPr>
        <w:spacing w:before="60" w:after="60" w:line="254" w:lineRule="auto"/>
        <w:ind w:left="10" w:hanging="10"/>
        <w:rPr>
          <w:rFonts w:ascii="Arial" w:eastAsia="Calibri" w:hAnsi="Arial" w:cs="Arial"/>
          <w:color w:val="000000"/>
          <w:sz w:val="24"/>
          <w:szCs w:val="24"/>
          <w:lang w:eastAsia="en-GB"/>
        </w:rPr>
      </w:pPr>
    </w:p>
    <w:p w14:paraId="03A5809A" w14:textId="318115B5" w:rsidR="00DE5731" w:rsidRPr="00EF2475" w:rsidRDefault="00F44BFC" w:rsidP="00C543E3">
      <w:pPr>
        <w:pStyle w:val="Heading1"/>
        <w:rPr>
          <w:rFonts w:eastAsia="Calibri"/>
          <w:lang w:eastAsia="en-GB"/>
        </w:rPr>
      </w:pPr>
      <w:bookmarkStart w:id="8" w:name="_Toc66103601"/>
      <w:r w:rsidRPr="00EF2475">
        <w:rPr>
          <w:rFonts w:eastAsia="Arial"/>
          <w:lang w:eastAsia="en-GB"/>
        </w:rPr>
        <w:t>R</w:t>
      </w:r>
      <w:r w:rsidR="00DE5731" w:rsidRPr="00EF2475">
        <w:rPr>
          <w:rFonts w:eastAsia="Arial"/>
          <w:lang w:eastAsia="en-GB"/>
        </w:rPr>
        <w:t>eferences</w:t>
      </w:r>
      <w:bookmarkEnd w:id="8"/>
    </w:p>
    <w:p w14:paraId="0B16E82A" w14:textId="78DA4B40" w:rsidR="00DE5731" w:rsidRPr="00847742" w:rsidRDefault="729EA044" w:rsidP="00360327">
      <w:pPr>
        <w:spacing w:before="60" w:after="60" w:line="254" w:lineRule="auto"/>
        <w:rPr>
          <w:rFonts w:ascii="Arial" w:eastAsiaTheme="minorEastAsia" w:hAnsi="Arial" w:cs="Arial"/>
          <w:color w:val="000000"/>
          <w:sz w:val="24"/>
          <w:szCs w:val="24"/>
          <w:lang w:eastAsia="en-GB"/>
        </w:rPr>
      </w:pPr>
      <w:r w:rsidRPr="00847742">
        <w:rPr>
          <w:rFonts w:ascii="Arial" w:eastAsia="Arial" w:hAnsi="Arial" w:cs="Arial"/>
          <w:color w:val="000000" w:themeColor="text1"/>
          <w:sz w:val="24"/>
          <w:szCs w:val="24"/>
          <w:lang w:eastAsia="en-GB"/>
        </w:rPr>
        <w:t>“Guidance for Services In Grampian to Supply Naloxone to People at Risk of Opioid Over</w:t>
      </w:r>
      <w:r w:rsidRPr="00847742">
        <w:rPr>
          <w:rFonts w:ascii="Arial" w:eastAsiaTheme="minorEastAsia" w:hAnsi="Arial" w:cs="Arial"/>
          <w:color w:val="000000" w:themeColor="text1"/>
          <w:sz w:val="24"/>
          <w:szCs w:val="24"/>
          <w:lang w:eastAsia="en-GB"/>
        </w:rPr>
        <w:t>dose, Significant Others and Services in Contact with those at Risk“</w:t>
      </w:r>
      <w:r w:rsidR="00AE5F6B" w:rsidRPr="00847742">
        <w:rPr>
          <w:rFonts w:ascii="Arial" w:eastAsiaTheme="minorEastAsia" w:hAnsi="Arial" w:cs="Arial"/>
          <w:color w:val="000000" w:themeColor="text1"/>
          <w:sz w:val="24"/>
          <w:szCs w:val="24"/>
          <w:lang w:eastAsia="en-GB"/>
        </w:rPr>
        <w:t xml:space="preserve">  </w:t>
      </w:r>
      <w:r w:rsidR="00DE5731" w:rsidRPr="00847742">
        <w:rPr>
          <w:rFonts w:ascii="Arial" w:eastAsiaTheme="minorEastAsia" w:hAnsi="Arial" w:cs="Arial"/>
          <w:color w:val="000000" w:themeColor="text1"/>
          <w:sz w:val="24"/>
          <w:szCs w:val="24"/>
          <w:lang w:eastAsia="en-GB"/>
        </w:rPr>
        <w:t>Available from:</w:t>
      </w:r>
      <w:r w:rsidR="45AF9255" w:rsidRPr="00847742">
        <w:rPr>
          <w:rFonts w:ascii="Arial" w:eastAsiaTheme="minorEastAsia" w:hAnsi="Arial" w:cs="Arial"/>
          <w:sz w:val="24"/>
          <w:szCs w:val="24"/>
        </w:rPr>
        <w:t xml:space="preserve"> </w:t>
      </w:r>
      <w:hyperlink r:id="rId20" w:history="1">
        <w:r w:rsidR="00357F03" w:rsidRPr="00AA4899">
          <w:rPr>
            <w:rStyle w:val="Hyperlink"/>
            <w:rFonts w:ascii="Arial" w:eastAsiaTheme="minorEastAsia" w:hAnsi="Arial" w:cs="Arial"/>
            <w:sz w:val="24"/>
            <w:szCs w:val="24"/>
          </w:rPr>
          <w:t>https://www.nhsgrampian.org/globalassets/services/medicines-management/policies/guide_naloxones.pdf</w:t>
        </w:r>
      </w:hyperlink>
      <w:r w:rsidR="00357F03">
        <w:rPr>
          <w:rFonts w:ascii="Arial" w:eastAsiaTheme="minorEastAsia" w:hAnsi="Arial" w:cs="Arial"/>
          <w:sz w:val="24"/>
          <w:szCs w:val="24"/>
        </w:rPr>
        <w:t xml:space="preserve"> </w:t>
      </w:r>
    </w:p>
    <w:p w14:paraId="506E8A8E" w14:textId="50036FD1" w:rsidR="00DE5731" w:rsidRPr="00847742" w:rsidRDefault="00DE5731" w:rsidP="00AE5F6B">
      <w:pPr>
        <w:spacing w:before="60" w:after="60" w:line="254" w:lineRule="auto"/>
        <w:ind w:left="10"/>
        <w:rPr>
          <w:rFonts w:ascii="Arial" w:eastAsia="Calibri" w:hAnsi="Arial" w:cs="Arial"/>
          <w:color w:val="000000"/>
          <w:sz w:val="24"/>
          <w:szCs w:val="24"/>
          <w:lang w:eastAsia="en-GB"/>
        </w:rPr>
      </w:pPr>
    </w:p>
    <w:p w14:paraId="3FF756AF" w14:textId="035F49FB" w:rsidR="005D5D96" w:rsidRDefault="00DE5731" w:rsidP="005D5D96">
      <w:pPr>
        <w:spacing w:before="60" w:after="60" w:line="254" w:lineRule="auto"/>
        <w:ind w:left="11"/>
        <w:rPr>
          <w:rFonts w:ascii="Arial" w:eastAsia="Arial" w:hAnsi="Arial" w:cs="Arial"/>
          <w:color w:val="0000FF"/>
          <w:sz w:val="24"/>
          <w:szCs w:val="24"/>
          <w:u w:val="single"/>
          <w:lang w:eastAsia="en-GB"/>
        </w:rPr>
      </w:pPr>
      <w:r w:rsidRPr="00847742">
        <w:rPr>
          <w:rFonts w:ascii="Arial" w:eastAsia="Arial" w:hAnsi="Arial" w:cs="Arial"/>
          <w:color w:val="000000" w:themeColor="text1"/>
          <w:sz w:val="24"/>
          <w:szCs w:val="24"/>
          <w:lang w:eastAsia="en-GB"/>
        </w:rPr>
        <w:t xml:space="preserve">Grampian naloxone resources: </w:t>
      </w:r>
      <w:hyperlink r:id="rId21" w:history="1">
        <w:r w:rsidR="00357F03" w:rsidRPr="00AA4899">
          <w:rPr>
            <w:rStyle w:val="Hyperlink"/>
            <w:rFonts w:ascii="Arial" w:eastAsia="Arial" w:hAnsi="Arial" w:cs="Arial"/>
            <w:sz w:val="24"/>
            <w:szCs w:val="24"/>
            <w:lang w:eastAsia="en-GB"/>
          </w:rPr>
          <w:t>www.hi-netgrampian.scot.nhs.uk/naloxone/</w:t>
        </w:r>
      </w:hyperlink>
      <w:r w:rsidR="00357F03">
        <w:rPr>
          <w:rFonts w:ascii="Arial" w:eastAsia="Arial" w:hAnsi="Arial" w:cs="Arial"/>
          <w:color w:val="000000" w:themeColor="text1"/>
          <w:sz w:val="24"/>
          <w:szCs w:val="24"/>
          <w:lang w:eastAsia="en-GB"/>
        </w:rPr>
        <w:t xml:space="preserve"> </w:t>
      </w:r>
    </w:p>
    <w:p w14:paraId="7B8567F6" w14:textId="77777777" w:rsidR="005D5D96" w:rsidRDefault="005D5D96" w:rsidP="005D5D96">
      <w:pPr>
        <w:spacing w:before="60" w:after="60" w:line="254" w:lineRule="auto"/>
        <w:ind w:left="11"/>
        <w:rPr>
          <w:rFonts w:ascii="Arial" w:eastAsia="Calibri" w:hAnsi="Arial" w:cs="Arial"/>
          <w:color w:val="000000"/>
          <w:sz w:val="24"/>
          <w:szCs w:val="24"/>
          <w:lang w:eastAsia="en-GB"/>
        </w:rPr>
      </w:pPr>
    </w:p>
    <w:p w14:paraId="316C9167" w14:textId="0EC54DBF" w:rsidR="00136C4F" w:rsidRPr="00136C4F" w:rsidRDefault="00136C4F" w:rsidP="005D5D96">
      <w:pPr>
        <w:spacing w:before="60" w:after="60" w:line="254" w:lineRule="auto"/>
        <w:ind w:left="11"/>
        <w:rPr>
          <w:rFonts w:ascii="Arial" w:eastAsia="Calibri" w:hAnsi="Arial" w:cs="Arial"/>
          <w:color w:val="000000"/>
          <w:sz w:val="24"/>
          <w:szCs w:val="24"/>
          <w:lang w:eastAsia="en-GB"/>
        </w:rPr>
      </w:pPr>
      <w:r w:rsidRPr="00136C4F">
        <w:rPr>
          <w:rFonts w:ascii="Arial" w:eastAsia="Calibri" w:hAnsi="Arial" w:cs="Arial"/>
          <w:color w:val="000000"/>
          <w:sz w:val="24"/>
          <w:szCs w:val="24"/>
          <w:lang w:eastAsia="en-GB"/>
        </w:rPr>
        <w:t>Opioids: risk of dependence and addiction - GOV.UK (</w:t>
      </w:r>
      <w:hyperlink r:id="rId22" w:history="1">
        <w:r w:rsidRPr="006123DA">
          <w:rPr>
            <w:rStyle w:val="Hyperlink"/>
            <w:rFonts w:ascii="Arial" w:eastAsia="Calibri" w:hAnsi="Arial" w:cs="Arial"/>
            <w:sz w:val="24"/>
            <w:szCs w:val="24"/>
            <w:lang w:eastAsia="en-GB"/>
          </w:rPr>
          <w:t>www.gov.uk</w:t>
        </w:r>
      </w:hyperlink>
      <w:r w:rsidRPr="00136C4F">
        <w:rPr>
          <w:rFonts w:ascii="Arial" w:eastAsia="Calibri" w:hAnsi="Arial" w:cs="Arial"/>
          <w:color w:val="000000"/>
          <w:sz w:val="24"/>
          <w:szCs w:val="24"/>
          <w:lang w:eastAsia="en-GB"/>
        </w:rPr>
        <w:t>)</w:t>
      </w:r>
      <w:r>
        <w:rPr>
          <w:rFonts w:ascii="Arial" w:eastAsia="Calibri" w:hAnsi="Arial" w:cs="Arial"/>
          <w:color w:val="000000"/>
          <w:sz w:val="24"/>
          <w:szCs w:val="24"/>
          <w:lang w:eastAsia="en-GB"/>
        </w:rPr>
        <w:t xml:space="preserve"> </w:t>
      </w:r>
    </w:p>
    <w:p w14:paraId="42AAA086" w14:textId="77777777" w:rsidR="00DE5731" w:rsidRPr="00847742" w:rsidRDefault="00DE5731" w:rsidP="00AE5F6B">
      <w:pPr>
        <w:spacing w:before="60" w:after="60" w:line="254" w:lineRule="auto"/>
        <w:ind w:left="10" w:hanging="10"/>
        <w:rPr>
          <w:rFonts w:ascii="Arial" w:eastAsia="Calibri" w:hAnsi="Arial" w:cs="Arial"/>
          <w:color w:val="000000"/>
          <w:sz w:val="24"/>
          <w:szCs w:val="24"/>
          <w:lang w:eastAsia="en-GB"/>
        </w:rPr>
      </w:pPr>
    </w:p>
    <w:sectPr w:rsidR="00DE5731" w:rsidRPr="00847742">
      <w:headerReference w:type="even" r:id="rId23"/>
      <w:headerReference w:type="default" r:id="rId24"/>
      <w:footerReference w:type="default" r:id="rId25"/>
      <w:headerReference w:type="first" r:id="rId26"/>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C5EAC3" w16cex:dateUtc="2020-05-14T10:08:36.908Z"/>
  <w16cex:commentExtensible w16cex:durableId="6E8E7209" w16cex:dateUtc="2020-05-14T10:10:22.634Z"/>
  <w16cex:commentExtensible w16cex:durableId="7FB6D40B" w16cex:dateUtc="2020-05-14T10:11:14.949Z"/>
</w16cex:commentsExtensible>
</file>

<file path=word/commentsIds.xml><?xml version="1.0" encoding="utf-8"?>
<w16cid:commentsIds xmlns:mc="http://schemas.openxmlformats.org/markup-compatibility/2006" xmlns:w16cid="http://schemas.microsoft.com/office/word/2016/wordml/cid" mc:Ignorable="w16cid">
  <w16cid:commentId w16cid:paraId="3389E854" w16cid:durableId="26C5EAC3"/>
  <w16cid:commentId w16cid:paraId="096F52A3" w16cid:durableId="6E8E7209"/>
  <w16cid:commentId w16cid:paraId="023695BC" w16cid:durableId="7FB6D4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44A71" w14:textId="77777777" w:rsidR="00F01150" w:rsidRDefault="00F01150" w:rsidP="00F01150">
      <w:pPr>
        <w:spacing w:after="0" w:line="240" w:lineRule="auto"/>
      </w:pPr>
      <w:r>
        <w:separator/>
      </w:r>
    </w:p>
  </w:endnote>
  <w:endnote w:type="continuationSeparator" w:id="0">
    <w:p w14:paraId="6544AC3E" w14:textId="77777777" w:rsidR="00F01150" w:rsidRDefault="00F01150" w:rsidP="00F01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E7ECA" w14:textId="3F9CD2F5" w:rsidR="00F01150" w:rsidRPr="00F01150" w:rsidRDefault="00F01150" w:rsidP="00F01150">
    <w:pPr>
      <w:pStyle w:val="Footer"/>
      <w:jc w:val="right"/>
      <w:rPr>
        <w:rFonts w:ascii="Arial" w:hAnsi="Arial" w:cs="Arial"/>
        <w:sz w:val="24"/>
        <w:szCs w:val="24"/>
      </w:rPr>
    </w:pPr>
    <w:proofErr w:type="spellStart"/>
    <w:r w:rsidRPr="00F01150">
      <w:rPr>
        <w:rFonts w:ascii="Arial" w:hAnsi="Arial" w:cs="Arial"/>
        <w:sz w:val="24"/>
        <w:szCs w:val="24"/>
      </w:rPr>
      <w:t>SLA_</w:t>
    </w:r>
    <w:r>
      <w:rPr>
        <w:rFonts w:ascii="Arial" w:hAnsi="Arial" w:cs="Arial"/>
        <w:sz w:val="24"/>
        <w:szCs w:val="24"/>
      </w:rPr>
      <w:t>Naloxone</w:t>
    </w:r>
    <w:proofErr w:type="spellEnd"/>
    <w:r>
      <w:rPr>
        <w:rFonts w:ascii="Arial" w:hAnsi="Arial" w:cs="Arial"/>
        <w:sz w:val="24"/>
        <w:szCs w:val="24"/>
      </w:rPr>
      <w:t xml:space="preserve"> Training and Supply</w:t>
    </w:r>
  </w:p>
  <w:p w14:paraId="5452C2D4" w14:textId="2E27DF33" w:rsidR="00F01150" w:rsidRPr="00F01150" w:rsidRDefault="00F01150" w:rsidP="00F01150">
    <w:pPr>
      <w:pStyle w:val="Footer"/>
      <w:jc w:val="right"/>
      <w:rPr>
        <w:rFonts w:ascii="Arial" w:hAnsi="Arial" w:cs="Arial"/>
        <w:sz w:val="24"/>
        <w:szCs w:val="24"/>
      </w:rPr>
    </w:pPr>
    <w:r w:rsidRPr="00F01150">
      <w:rPr>
        <w:rFonts w:ascii="Arial" w:hAnsi="Arial" w:cs="Arial"/>
        <w:sz w:val="24"/>
        <w:szCs w:val="24"/>
      </w:rPr>
      <w:t>202</w:t>
    </w:r>
    <w:r w:rsidR="005864AA">
      <w:rPr>
        <w:rFonts w:ascii="Arial" w:hAnsi="Arial" w:cs="Arial"/>
        <w:sz w:val="24"/>
        <w:szCs w:val="24"/>
      </w:rPr>
      <w:t>4-25</w:t>
    </w:r>
  </w:p>
  <w:p w14:paraId="060928BE" w14:textId="77483732" w:rsidR="00F01150" w:rsidRPr="00F01150" w:rsidRDefault="00F01150" w:rsidP="00F01150">
    <w:pPr>
      <w:pStyle w:val="Footer"/>
      <w:jc w:val="right"/>
      <w:rPr>
        <w:rFonts w:ascii="Arial" w:hAnsi="Arial" w:cs="Arial"/>
        <w:sz w:val="24"/>
        <w:szCs w:val="24"/>
      </w:rPr>
    </w:pPr>
    <w:r w:rsidRPr="00F01150">
      <w:rPr>
        <w:rFonts w:ascii="Arial" w:hAnsi="Arial" w:cs="Arial"/>
        <w:sz w:val="24"/>
        <w:szCs w:val="24"/>
      </w:rPr>
      <w:t>V</w:t>
    </w:r>
    <w:r w:rsidR="005864AA">
      <w:rPr>
        <w:rFonts w:ascii="Arial" w:hAnsi="Arial" w:cs="Arial"/>
        <w:sz w:val="24"/>
        <w:szCs w:val="24"/>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24694" w14:textId="77777777" w:rsidR="00F01150" w:rsidRDefault="00F01150" w:rsidP="00F01150">
      <w:pPr>
        <w:spacing w:after="0" w:line="240" w:lineRule="auto"/>
      </w:pPr>
      <w:r>
        <w:separator/>
      </w:r>
    </w:p>
  </w:footnote>
  <w:footnote w:type="continuationSeparator" w:id="0">
    <w:p w14:paraId="217B7ACE" w14:textId="77777777" w:rsidR="00F01150" w:rsidRDefault="00F01150" w:rsidP="00F01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1CAC8" w14:textId="34FAA5D4" w:rsidR="002D76EF" w:rsidRDefault="00BD7A3D">
    <w:pPr>
      <w:pStyle w:val="Header"/>
    </w:pPr>
    <w:r>
      <w:rPr>
        <w:noProof/>
        <w:lang w:eastAsia="en-GB"/>
      </w:rPr>
      <w:pict w14:anchorId="0EB89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98672" o:spid="_x0000_s6146" type="#_x0000_t75" style="position:absolute;margin-left:0;margin-top:0;width:451.2pt;height:345.7pt;z-index:-251654144;mso-position-horizontal:center;mso-position-horizontal-relative:margin;mso-position-vertical:center;mso-position-vertical-relative:margin" o:allowincell="f">
          <v:imagedata r:id="rId1" o:title="NHS 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361CE" w14:textId="59F2108A" w:rsidR="00F01150" w:rsidRPr="00F01150" w:rsidRDefault="00BD7A3D" w:rsidP="00F01150">
    <w:pPr>
      <w:pStyle w:val="Footer"/>
      <w:jc w:val="right"/>
      <w:rPr>
        <w:rFonts w:ascii="Arial" w:hAnsi="Arial" w:cs="Arial"/>
        <w:sz w:val="24"/>
        <w:szCs w:val="24"/>
      </w:rPr>
    </w:pPr>
    <w:r>
      <w:rPr>
        <w:rFonts w:ascii="Arial" w:hAnsi="Arial" w:cs="Arial"/>
        <w:noProof/>
        <w:sz w:val="24"/>
        <w:szCs w:val="24"/>
        <w:lang w:eastAsia="en-GB"/>
      </w:rPr>
      <w:pict w14:anchorId="36716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98673" o:spid="_x0000_s6147" type="#_x0000_t75" style="position:absolute;left:0;text-align:left;margin-left:0;margin-top:0;width:451.2pt;height:345.7pt;z-index:-251653120;mso-position-horizontal:center;mso-position-horizontal-relative:margin;mso-position-vertical:center;mso-position-vertical-relative:margin" o:allowincell="f">
          <v:imagedata r:id="rId1" o:title="NHS G" gain="19661f" blacklevel="22938f"/>
          <w10:wrap anchorx="margin" anchory="margin"/>
        </v:shape>
      </w:pict>
    </w:r>
    <w:r w:rsidR="00F01150" w:rsidRPr="00F01150">
      <w:rPr>
        <w:rFonts w:ascii="Arial" w:hAnsi="Arial" w:cs="Arial"/>
        <w:noProof/>
        <w:sz w:val="24"/>
        <w:szCs w:val="24"/>
        <w:lang w:eastAsia="en-GB"/>
      </w:rPr>
      <w:drawing>
        <wp:anchor distT="0" distB="0" distL="114300" distR="114300" simplePos="0" relativeHeight="251660288" behindDoc="1" locked="0" layoutInCell="1" allowOverlap="1" wp14:anchorId="06B1DFF2" wp14:editId="70E8F84A">
          <wp:simplePos x="0" y="0"/>
          <wp:positionH relativeFrom="column">
            <wp:posOffset>-57150</wp:posOffset>
          </wp:positionH>
          <wp:positionV relativeFrom="paragraph">
            <wp:posOffset>-113030</wp:posOffset>
          </wp:positionV>
          <wp:extent cx="1181100" cy="9048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png"/>
                  <pic:cNvPicPr/>
                </pic:nvPicPr>
                <pic:blipFill>
                  <a:blip r:embed="rId2">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anchor>
      </w:drawing>
    </w:r>
    <w:r w:rsidR="00F01150" w:rsidRPr="00F01150">
      <w:rPr>
        <w:rFonts w:ascii="Arial" w:hAnsi="Arial" w:cs="Arial"/>
        <w:sz w:val="24"/>
        <w:szCs w:val="24"/>
      </w:rPr>
      <w:t xml:space="preserve">NHS Grampian </w:t>
    </w:r>
  </w:p>
  <w:p w14:paraId="77CBD23B" w14:textId="77777777" w:rsidR="00F01150" w:rsidRPr="00F01150" w:rsidRDefault="00F01150" w:rsidP="00F01150">
    <w:pPr>
      <w:pStyle w:val="Footer"/>
      <w:jc w:val="right"/>
      <w:rPr>
        <w:rFonts w:ascii="Arial" w:hAnsi="Arial" w:cs="Arial"/>
        <w:sz w:val="24"/>
        <w:szCs w:val="24"/>
      </w:rPr>
    </w:pPr>
    <w:r w:rsidRPr="00F01150">
      <w:rPr>
        <w:rFonts w:ascii="Arial" w:hAnsi="Arial" w:cs="Arial"/>
        <w:sz w:val="24"/>
        <w:szCs w:val="24"/>
      </w:rPr>
      <w:t>Pharmaceutical Care Services</w:t>
    </w:r>
  </w:p>
  <w:p w14:paraId="614D1CB0" w14:textId="77777777" w:rsidR="00F01150" w:rsidRPr="00F01150" w:rsidRDefault="00F01150" w:rsidP="00F01150">
    <w:pPr>
      <w:pStyle w:val="Footer"/>
      <w:jc w:val="right"/>
      <w:rPr>
        <w:rFonts w:ascii="Arial" w:hAnsi="Arial" w:cs="Arial"/>
        <w:sz w:val="24"/>
        <w:szCs w:val="24"/>
      </w:rPr>
    </w:pPr>
    <w:r w:rsidRPr="00F01150">
      <w:rPr>
        <w:rFonts w:ascii="Arial" w:hAnsi="Arial" w:cs="Arial"/>
        <w:sz w:val="24"/>
        <w:szCs w:val="24"/>
      </w:rPr>
      <w:t>Service Level Agreement</w:t>
    </w:r>
  </w:p>
  <w:p w14:paraId="6652847F" w14:textId="4BC42C79" w:rsidR="00F01150" w:rsidRDefault="00F01150" w:rsidP="00F01150">
    <w:pPr>
      <w:pStyle w:val="Header"/>
    </w:pPr>
  </w:p>
  <w:p w14:paraId="1594630F" w14:textId="77777777" w:rsidR="00F01150" w:rsidRDefault="00F011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8BEC6" w14:textId="422DB23D" w:rsidR="002D76EF" w:rsidRDefault="00BD7A3D">
    <w:pPr>
      <w:pStyle w:val="Header"/>
    </w:pPr>
    <w:r>
      <w:rPr>
        <w:noProof/>
        <w:lang w:eastAsia="en-GB"/>
      </w:rPr>
      <w:pict w14:anchorId="6E1BA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98671" o:spid="_x0000_s6145" type="#_x0000_t75" style="position:absolute;margin-left:0;margin-top:0;width:451.2pt;height:345.7pt;z-index:-251655168;mso-position-horizontal:center;mso-position-horizontal-relative:margin;mso-position-vertical:center;mso-position-vertical-relative:margin" o:allowincell="f">
          <v:imagedata r:id="rId1" o:title="NHS 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57F8"/>
    <w:multiLevelType w:val="hybridMultilevel"/>
    <w:tmpl w:val="FDB4A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21673"/>
    <w:multiLevelType w:val="hybridMultilevel"/>
    <w:tmpl w:val="D9C26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F59C8"/>
    <w:multiLevelType w:val="hybridMultilevel"/>
    <w:tmpl w:val="DCE00B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3002155"/>
    <w:multiLevelType w:val="hybridMultilevel"/>
    <w:tmpl w:val="CA6C1EAC"/>
    <w:lvl w:ilvl="0" w:tplc="C06C882C">
      <w:start w:val="1"/>
      <w:numFmt w:val="bullet"/>
      <w:lvlText w:val="-"/>
      <w:lvlJc w:val="left"/>
      <w:pPr>
        <w:ind w:left="705"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13304440"/>
    <w:multiLevelType w:val="hybridMultilevel"/>
    <w:tmpl w:val="1B363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046B1"/>
    <w:multiLevelType w:val="multilevel"/>
    <w:tmpl w:val="82CA1022"/>
    <w:lvl w:ilvl="0">
      <w:start w:val="4"/>
      <w:numFmt w:val="decimal"/>
      <w:lvlText w:val="%1"/>
      <w:lvlJc w:val="left"/>
      <w:pPr>
        <w:ind w:left="360" w:hanging="360"/>
      </w:pPr>
      <w:rPr>
        <w:rFonts w:eastAsia="Arial" w:hint="default"/>
      </w:rPr>
    </w:lvl>
    <w:lvl w:ilvl="1">
      <w:start w:val="2"/>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6" w15:restartNumberingAfterBreak="0">
    <w:nsid w:val="23052464"/>
    <w:multiLevelType w:val="hybridMultilevel"/>
    <w:tmpl w:val="807A36FE"/>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458706A"/>
    <w:multiLevelType w:val="hybridMultilevel"/>
    <w:tmpl w:val="ADD8E226"/>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D9E382D"/>
    <w:multiLevelType w:val="hybridMultilevel"/>
    <w:tmpl w:val="C2B8AB9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06D94"/>
    <w:multiLevelType w:val="hybridMultilevel"/>
    <w:tmpl w:val="4EF2F128"/>
    <w:lvl w:ilvl="0" w:tplc="381CFBC2">
      <w:start w:val="1"/>
      <w:numFmt w:val="decimal"/>
      <w:lvlText w:val="%1)"/>
      <w:lvlJc w:val="left"/>
      <w:pPr>
        <w:ind w:left="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88EE11A">
      <w:start w:val="1"/>
      <w:numFmt w:val="lowerLetter"/>
      <w:lvlText w:val="%2"/>
      <w:lvlJc w:val="left"/>
      <w:pPr>
        <w:ind w:left="10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2BCEC3D8">
      <w:start w:val="1"/>
      <w:numFmt w:val="lowerRoman"/>
      <w:lvlText w:val="%3"/>
      <w:lvlJc w:val="left"/>
      <w:pPr>
        <w:ind w:left="18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112584A">
      <w:start w:val="1"/>
      <w:numFmt w:val="decimal"/>
      <w:lvlText w:val="%4"/>
      <w:lvlJc w:val="left"/>
      <w:pPr>
        <w:ind w:left="25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834DD56">
      <w:start w:val="1"/>
      <w:numFmt w:val="lowerLetter"/>
      <w:lvlText w:val="%5"/>
      <w:lvlJc w:val="left"/>
      <w:pPr>
        <w:ind w:left="32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7FEF692">
      <w:start w:val="1"/>
      <w:numFmt w:val="lowerRoman"/>
      <w:lvlText w:val="%6"/>
      <w:lvlJc w:val="left"/>
      <w:pPr>
        <w:ind w:left="39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4AEF0DA">
      <w:start w:val="1"/>
      <w:numFmt w:val="decimal"/>
      <w:lvlText w:val="%7"/>
      <w:lvlJc w:val="left"/>
      <w:pPr>
        <w:ind w:left="46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9EC65CC">
      <w:start w:val="1"/>
      <w:numFmt w:val="lowerLetter"/>
      <w:lvlText w:val="%8"/>
      <w:lvlJc w:val="left"/>
      <w:pPr>
        <w:ind w:left="54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BEAB52E">
      <w:start w:val="1"/>
      <w:numFmt w:val="lowerRoman"/>
      <w:lvlText w:val="%9"/>
      <w:lvlJc w:val="left"/>
      <w:pPr>
        <w:ind w:left="61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4A705E19"/>
    <w:multiLevelType w:val="hybridMultilevel"/>
    <w:tmpl w:val="3D925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14020E"/>
    <w:multiLevelType w:val="hybridMultilevel"/>
    <w:tmpl w:val="FCD0576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2" w15:restartNumberingAfterBreak="0">
    <w:nsid w:val="55240DB6"/>
    <w:multiLevelType w:val="multilevel"/>
    <w:tmpl w:val="1096924A"/>
    <w:lvl w:ilvl="0">
      <w:start w:val="1"/>
      <w:numFmt w:val="decimal"/>
      <w:pStyle w:val="Heading1"/>
      <w:lvlText w:val="%1"/>
      <w:lvlJc w:val="left"/>
      <w:pPr>
        <w:ind w:left="720" w:hanging="7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A13284"/>
    <w:multiLevelType w:val="hybridMultilevel"/>
    <w:tmpl w:val="7DF47556"/>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4" w15:restartNumberingAfterBreak="0">
    <w:nsid w:val="67D367F1"/>
    <w:multiLevelType w:val="hybridMultilevel"/>
    <w:tmpl w:val="B3EE3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C87B55"/>
    <w:multiLevelType w:val="hybridMultilevel"/>
    <w:tmpl w:val="630AD00C"/>
    <w:lvl w:ilvl="0" w:tplc="08090001">
      <w:start w:val="1"/>
      <w:numFmt w:val="bullet"/>
      <w:lvlText w:val=""/>
      <w:lvlJc w:val="left"/>
      <w:pPr>
        <w:ind w:left="705"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25" w:hanging="360"/>
      </w:pPr>
      <w:rPr>
        <w:rFonts w:ascii="Courier New" w:hAnsi="Courier New" w:cs="Courier New" w:hint="default"/>
      </w:rPr>
    </w:lvl>
    <w:lvl w:ilvl="2" w:tplc="08090005">
      <w:start w:val="1"/>
      <w:numFmt w:val="bullet"/>
      <w:lvlText w:val=""/>
      <w:lvlJc w:val="left"/>
      <w:pPr>
        <w:ind w:left="2145" w:hanging="360"/>
      </w:pPr>
      <w:rPr>
        <w:rFonts w:ascii="Wingdings" w:hAnsi="Wingdings" w:hint="default"/>
      </w:rPr>
    </w:lvl>
    <w:lvl w:ilvl="3" w:tplc="0809000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6" w15:restartNumberingAfterBreak="0">
    <w:nsid w:val="70DA1E66"/>
    <w:multiLevelType w:val="hybridMultilevel"/>
    <w:tmpl w:val="F0882BD0"/>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7" w15:restartNumberingAfterBreak="0">
    <w:nsid w:val="766F409C"/>
    <w:multiLevelType w:val="hybridMultilevel"/>
    <w:tmpl w:val="B12EA18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F269DF"/>
    <w:multiLevelType w:val="hybridMultilevel"/>
    <w:tmpl w:val="91946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BC7101"/>
    <w:multiLevelType w:val="multilevel"/>
    <w:tmpl w:val="78E8FE9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EA693B"/>
    <w:multiLevelType w:val="hybridMultilevel"/>
    <w:tmpl w:val="E29E5660"/>
    <w:lvl w:ilvl="0" w:tplc="C06C882C">
      <w:start w:val="1"/>
      <w:numFmt w:val="bullet"/>
      <w:lvlText w:val="-"/>
      <w:lvlJc w:val="left"/>
      <w:pPr>
        <w:ind w:left="705"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abstractNumId w:val="16"/>
  </w:num>
  <w:num w:numId="2">
    <w:abstractNumId w:val="2"/>
  </w:num>
  <w:num w:numId="3">
    <w:abstractNumId w:val="20"/>
  </w:num>
  <w:num w:numId="4">
    <w:abstractNumId w:val="3"/>
  </w:num>
  <w:num w:numId="5">
    <w:abstractNumId w:val="15"/>
  </w:num>
  <w:num w:numId="6">
    <w:abstractNumId w:val="11"/>
  </w:num>
  <w:num w:numId="7">
    <w:abstractNumId w:val="9"/>
  </w:num>
  <w:num w:numId="8">
    <w:abstractNumId w:val="0"/>
  </w:num>
  <w:num w:numId="9">
    <w:abstractNumId w:val="7"/>
  </w:num>
  <w:num w:numId="10">
    <w:abstractNumId w:val="4"/>
  </w:num>
  <w:num w:numId="11">
    <w:abstractNumId w:val="10"/>
  </w:num>
  <w:num w:numId="12">
    <w:abstractNumId w:val="17"/>
  </w:num>
  <w:num w:numId="13">
    <w:abstractNumId w:val="8"/>
  </w:num>
  <w:num w:numId="14">
    <w:abstractNumId w:val="12"/>
  </w:num>
  <w:num w:numId="15">
    <w:abstractNumId w:val="5"/>
  </w:num>
  <w:num w:numId="16">
    <w:abstractNumId w:val="18"/>
  </w:num>
  <w:num w:numId="17">
    <w:abstractNumId w:val="1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
  </w:num>
  <w:num w:numId="21">
    <w:abstractNumId w:val="6"/>
  </w:num>
  <w:num w:numId="22">
    <w:abstractNumId w:val="13"/>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731"/>
    <w:rsid w:val="00002FDE"/>
    <w:rsid w:val="001175EA"/>
    <w:rsid w:val="00136C4F"/>
    <w:rsid w:val="001A6C35"/>
    <w:rsid w:val="00271BA2"/>
    <w:rsid w:val="002A22D0"/>
    <w:rsid w:val="002D76EF"/>
    <w:rsid w:val="00300E70"/>
    <w:rsid w:val="00313E38"/>
    <w:rsid w:val="00323D54"/>
    <w:rsid w:val="00357F03"/>
    <w:rsid w:val="00360327"/>
    <w:rsid w:val="003E63A6"/>
    <w:rsid w:val="004259EF"/>
    <w:rsid w:val="00453358"/>
    <w:rsid w:val="0050070B"/>
    <w:rsid w:val="005864AA"/>
    <w:rsid w:val="005D1C01"/>
    <w:rsid w:val="005D5D96"/>
    <w:rsid w:val="00605F83"/>
    <w:rsid w:val="00625017"/>
    <w:rsid w:val="00660D80"/>
    <w:rsid w:val="007207DB"/>
    <w:rsid w:val="007D010F"/>
    <w:rsid w:val="00847742"/>
    <w:rsid w:val="008E32C8"/>
    <w:rsid w:val="009160DC"/>
    <w:rsid w:val="00957720"/>
    <w:rsid w:val="009903D1"/>
    <w:rsid w:val="00991ACA"/>
    <w:rsid w:val="00A26FD6"/>
    <w:rsid w:val="00AE5F6B"/>
    <w:rsid w:val="00BD7A3D"/>
    <w:rsid w:val="00C162AC"/>
    <w:rsid w:val="00C43DCE"/>
    <w:rsid w:val="00C543E3"/>
    <w:rsid w:val="00CA128C"/>
    <w:rsid w:val="00CC0FCD"/>
    <w:rsid w:val="00D32BB2"/>
    <w:rsid w:val="00DC6580"/>
    <w:rsid w:val="00DC757C"/>
    <w:rsid w:val="00DE5731"/>
    <w:rsid w:val="00DE6D0A"/>
    <w:rsid w:val="00DE720D"/>
    <w:rsid w:val="00E14181"/>
    <w:rsid w:val="00E82854"/>
    <w:rsid w:val="00E94536"/>
    <w:rsid w:val="00ED57DD"/>
    <w:rsid w:val="00EF2475"/>
    <w:rsid w:val="00F01150"/>
    <w:rsid w:val="00F017BE"/>
    <w:rsid w:val="00F44BFC"/>
    <w:rsid w:val="00F6139E"/>
    <w:rsid w:val="00F9382F"/>
    <w:rsid w:val="01FF90CE"/>
    <w:rsid w:val="0308F9A1"/>
    <w:rsid w:val="03E6795B"/>
    <w:rsid w:val="07611739"/>
    <w:rsid w:val="0A1AF710"/>
    <w:rsid w:val="0A48F1A4"/>
    <w:rsid w:val="0A711AFE"/>
    <w:rsid w:val="0C174739"/>
    <w:rsid w:val="0C2AF7C1"/>
    <w:rsid w:val="0E1DB3E2"/>
    <w:rsid w:val="0EE73886"/>
    <w:rsid w:val="0FCC1559"/>
    <w:rsid w:val="141D04CB"/>
    <w:rsid w:val="15903184"/>
    <w:rsid w:val="16BF377D"/>
    <w:rsid w:val="19D01D35"/>
    <w:rsid w:val="1C107CA7"/>
    <w:rsid w:val="25014F44"/>
    <w:rsid w:val="2618868E"/>
    <w:rsid w:val="2FD7E7AB"/>
    <w:rsid w:val="30525786"/>
    <w:rsid w:val="3115A7AD"/>
    <w:rsid w:val="35CC6111"/>
    <w:rsid w:val="36383703"/>
    <w:rsid w:val="38E0FCD2"/>
    <w:rsid w:val="38F1C01C"/>
    <w:rsid w:val="3B02C13B"/>
    <w:rsid w:val="3CB111BB"/>
    <w:rsid w:val="3DAED45B"/>
    <w:rsid w:val="41FAAC8E"/>
    <w:rsid w:val="42273745"/>
    <w:rsid w:val="428EB6D6"/>
    <w:rsid w:val="45AF9255"/>
    <w:rsid w:val="4CAE4CA9"/>
    <w:rsid w:val="4E137DA8"/>
    <w:rsid w:val="51705B84"/>
    <w:rsid w:val="51C41272"/>
    <w:rsid w:val="525BEFE1"/>
    <w:rsid w:val="534EC5AD"/>
    <w:rsid w:val="543E13DA"/>
    <w:rsid w:val="548C36BD"/>
    <w:rsid w:val="57079F94"/>
    <w:rsid w:val="58B304E4"/>
    <w:rsid w:val="5B8C5BB7"/>
    <w:rsid w:val="5C83B051"/>
    <w:rsid w:val="5D6222E9"/>
    <w:rsid w:val="6310840E"/>
    <w:rsid w:val="647A0F21"/>
    <w:rsid w:val="69419C74"/>
    <w:rsid w:val="6A26AED3"/>
    <w:rsid w:val="6B6EAFC6"/>
    <w:rsid w:val="6BEC2E8B"/>
    <w:rsid w:val="708A4E17"/>
    <w:rsid w:val="729EA044"/>
    <w:rsid w:val="7496C37A"/>
    <w:rsid w:val="74B51205"/>
    <w:rsid w:val="75A6EE54"/>
    <w:rsid w:val="76908CC6"/>
    <w:rsid w:val="7AF23C06"/>
    <w:rsid w:val="7BF16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5D6159B3"/>
  <w15:chartTrackingRefBased/>
  <w15:docId w15:val="{E0CE4C11-6BE9-4E63-A005-062B101B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C543E3"/>
    <w:pPr>
      <w:keepNext/>
      <w:keepLines/>
      <w:numPr>
        <w:numId w:val="14"/>
      </w:numPr>
      <w:spacing w:before="240" w:after="0"/>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DE5731"/>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E5731"/>
    <w:rPr>
      <w:sz w:val="16"/>
      <w:szCs w:val="16"/>
    </w:rPr>
  </w:style>
  <w:style w:type="paragraph" w:styleId="CommentText">
    <w:name w:val="annotation text"/>
    <w:basedOn w:val="Normal"/>
    <w:link w:val="CommentTextChar"/>
    <w:uiPriority w:val="99"/>
    <w:semiHidden/>
    <w:unhideWhenUsed/>
    <w:rsid w:val="00DE5731"/>
    <w:pPr>
      <w:spacing w:after="203" w:line="240" w:lineRule="auto"/>
      <w:ind w:left="10" w:hanging="10"/>
    </w:pPr>
    <w:rPr>
      <w:rFonts w:ascii="Calibri" w:eastAsia="Calibri" w:hAnsi="Calibri" w:cs="Calibri"/>
      <w:color w:val="000000"/>
      <w:sz w:val="20"/>
      <w:szCs w:val="20"/>
      <w:lang w:eastAsia="en-GB"/>
    </w:rPr>
  </w:style>
  <w:style w:type="character" w:customStyle="1" w:styleId="CommentTextChar">
    <w:name w:val="Comment Text Char"/>
    <w:basedOn w:val="DefaultParagraphFont"/>
    <w:link w:val="CommentText"/>
    <w:uiPriority w:val="99"/>
    <w:semiHidden/>
    <w:rsid w:val="00DE5731"/>
    <w:rPr>
      <w:rFonts w:ascii="Calibri" w:eastAsia="Calibri" w:hAnsi="Calibri" w:cs="Calibri"/>
      <w:color w:val="000000"/>
      <w:sz w:val="20"/>
      <w:szCs w:val="20"/>
      <w:lang w:eastAsia="en-GB"/>
    </w:rPr>
  </w:style>
  <w:style w:type="paragraph" w:styleId="BalloonText">
    <w:name w:val="Balloon Text"/>
    <w:basedOn w:val="Normal"/>
    <w:link w:val="BalloonTextChar"/>
    <w:uiPriority w:val="99"/>
    <w:semiHidden/>
    <w:unhideWhenUsed/>
    <w:rsid w:val="00DE5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73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E5731"/>
    <w:pPr>
      <w:spacing w:after="160"/>
      <w:ind w:left="0" w:firstLine="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DE5731"/>
    <w:rPr>
      <w:rFonts w:ascii="Calibri" w:eastAsia="Calibri" w:hAnsi="Calibri" w:cs="Calibri"/>
      <w:b/>
      <w:bCs/>
      <w:color w:val="000000"/>
      <w:sz w:val="20"/>
      <w:szCs w:val="20"/>
      <w:lang w:eastAsia="en-GB"/>
    </w:rPr>
  </w:style>
  <w:style w:type="paragraph" w:styleId="Revision">
    <w:name w:val="Revision"/>
    <w:hidden/>
    <w:uiPriority w:val="99"/>
    <w:semiHidden/>
    <w:rsid w:val="00DE5731"/>
    <w:pPr>
      <w:spacing w:after="0" w:line="240" w:lineRule="auto"/>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AE5F6B"/>
    <w:rPr>
      <w:color w:val="954F72" w:themeColor="followedHyperlink"/>
      <w:u w:val="single"/>
    </w:rPr>
  </w:style>
  <w:style w:type="paragraph" w:styleId="ListParagraph">
    <w:name w:val="List Paragraph"/>
    <w:basedOn w:val="Normal"/>
    <w:uiPriority w:val="34"/>
    <w:qFormat/>
    <w:rsid w:val="00847742"/>
    <w:pPr>
      <w:ind w:left="720"/>
      <w:contextualSpacing/>
    </w:pPr>
  </w:style>
  <w:style w:type="paragraph" w:styleId="Header">
    <w:name w:val="header"/>
    <w:basedOn w:val="Normal"/>
    <w:link w:val="HeaderChar"/>
    <w:uiPriority w:val="99"/>
    <w:unhideWhenUsed/>
    <w:rsid w:val="00F0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150"/>
  </w:style>
  <w:style w:type="paragraph" w:styleId="Footer">
    <w:name w:val="footer"/>
    <w:basedOn w:val="Normal"/>
    <w:link w:val="FooterChar"/>
    <w:uiPriority w:val="99"/>
    <w:unhideWhenUsed/>
    <w:rsid w:val="00F011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150"/>
  </w:style>
  <w:style w:type="character" w:customStyle="1" w:styleId="Heading1Char">
    <w:name w:val="Heading 1 Char"/>
    <w:basedOn w:val="DefaultParagraphFont"/>
    <w:link w:val="Heading1"/>
    <w:uiPriority w:val="9"/>
    <w:rsid w:val="00C543E3"/>
    <w:rPr>
      <w:rFonts w:ascii="Arial" w:eastAsiaTheme="majorEastAsia" w:hAnsi="Arial" w:cstheme="majorBidi"/>
      <w:b/>
      <w:sz w:val="24"/>
      <w:szCs w:val="32"/>
    </w:rPr>
  </w:style>
  <w:style w:type="paragraph" w:styleId="TOCHeading">
    <w:name w:val="TOC Heading"/>
    <w:basedOn w:val="Heading1"/>
    <w:next w:val="Normal"/>
    <w:uiPriority w:val="39"/>
    <w:unhideWhenUsed/>
    <w:qFormat/>
    <w:rsid w:val="00C543E3"/>
    <w:pPr>
      <w:numPr>
        <w:numId w:val="0"/>
      </w:numPr>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C543E3"/>
    <w:pPr>
      <w:spacing w:after="100"/>
    </w:pPr>
  </w:style>
  <w:style w:type="paragraph" w:styleId="NoSpacing">
    <w:name w:val="No Spacing"/>
    <w:uiPriority w:val="1"/>
    <w:qFormat/>
    <w:rsid w:val="007D01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scotland.gov.uk/files/statistics/drug-related-deaths/22/drug-related-deaths-22-report.pdf" TargetMode="External"/><Relationship Id="rId13" Type="http://schemas.openxmlformats.org/officeDocument/2006/relationships/hyperlink" Target="https://naloxone.uk/" TargetMode="External"/><Relationship Id="rId18" Type="http://schemas.openxmlformats.org/officeDocument/2006/relationships/hyperlink" Target="https://www.nhsgrampian.org/globalassets/services/medicines-management/policies/guide_naloxones.pdf" TargetMode="External"/><Relationship Id="rId26" Type="http://schemas.openxmlformats.org/officeDocument/2006/relationships/header" Target="header3.xml"/><Relationship Id="R8987ef0549fa4c2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www.hi-netgrampian.scot.nhs.uk/naloxone/" TargetMode="External"/><Relationship Id="rId7" Type="http://schemas.openxmlformats.org/officeDocument/2006/relationships/endnotes" Target="endnotes.xml"/><Relationship Id="rId12" Type="http://schemas.openxmlformats.org/officeDocument/2006/relationships/hyperlink" Target="http://www.nyxoid.com/uk" TargetMode="External"/><Relationship Id="rId17" Type="http://schemas.openxmlformats.org/officeDocument/2006/relationships/hyperlink" Target="https://www.nhsgrampian.org/globalassets/services/medicines-management/policies/guide_naloxones.pdf" TargetMode="External"/><Relationship Id="rId25" Type="http://schemas.openxmlformats.org/officeDocument/2006/relationships/footer" Target="footer1.xml"/><Relationship Id="Rae75baa7930745fd"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learn.nes.nhs.scot/70847/pharmacy-cpd-resources/pharmacy-services-essential-learning/community-pharmacy/community-pharmacy-emergency-naloxone-holding-service/pharmacy-naloxone-service-lesson-1-drug-related-deaths-in-scotland" TargetMode="External"/><Relationship Id="rId20" Type="http://schemas.openxmlformats.org/officeDocument/2006/relationships/hyperlink" Target="https://www.nhsgrampian.org/globalassets/services/medicines-management/policies/guide_naloxo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noxadinjection.com/video/admin.mp4"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ram.resources@nhs.scot"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medicines.org.uk/emc/product/9292/rmms"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foi.nhsgrampian.org/globalassets/foidocument/foi-public-documents1---all-documents/Guide_NaloxoneS.pdf" TargetMode="External"/><Relationship Id="rId14" Type="http://schemas.openxmlformats.org/officeDocument/2006/relationships/hyperlink" Target="http://www.nhsghpcat.org" TargetMode="External"/><Relationship Id="rId22" Type="http://schemas.openxmlformats.org/officeDocument/2006/relationships/hyperlink" Target="http://www.gov.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DA81A-5866-4DA1-A1A2-777468662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Buchan</dc:creator>
  <cp:keywords/>
  <dc:description/>
  <cp:lastModifiedBy>Steven Brodie (NHS Grampian)</cp:lastModifiedBy>
  <cp:revision>4</cp:revision>
  <dcterms:created xsi:type="dcterms:W3CDTF">2024-06-25T13:55:00Z</dcterms:created>
  <dcterms:modified xsi:type="dcterms:W3CDTF">2024-06-25T14:18:00Z</dcterms:modified>
</cp:coreProperties>
</file>