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EC571" w14:textId="77777777" w:rsidR="006D34E5" w:rsidRDefault="006D34E5" w:rsidP="008077C5">
      <w:pPr>
        <w:spacing w:after="203" w:line="271" w:lineRule="auto"/>
        <w:rPr>
          <w:rFonts w:eastAsia="Calibri" w:cstheme="minorHAnsi"/>
          <w:color w:val="000000"/>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946"/>
      </w:tblGrid>
      <w:tr w:rsidR="008077C5" w:rsidRPr="00845BE3" w14:paraId="10A3E7FB" w14:textId="77777777" w:rsidTr="00001CB7">
        <w:trPr>
          <w:jc w:val="center"/>
        </w:trPr>
        <w:tc>
          <w:tcPr>
            <w:tcW w:w="9016" w:type="dxa"/>
            <w:gridSpan w:val="2"/>
          </w:tcPr>
          <w:p w14:paraId="18595E63" w14:textId="77777777" w:rsidR="008077C5" w:rsidRPr="00845BE3" w:rsidRDefault="008077C5" w:rsidP="008077C5">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3786C9BE" w14:textId="77777777" w:rsidR="008077C5" w:rsidRPr="00845BE3" w:rsidRDefault="008077C5" w:rsidP="008077C5">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48F64654" w14:textId="77777777" w:rsidR="008077C5" w:rsidRDefault="008077C5" w:rsidP="008077C5">
            <w:pPr>
              <w:pStyle w:val="NoSpacing"/>
              <w:jc w:val="center"/>
              <w:rPr>
                <w:rFonts w:ascii="Arial" w:hAnsi="Arial" w:cs="Arial"/>
                <w:b/>
                <w:sz w:val="24"/>
                <w:szCs w:val="24"/>
                <w:lang w:eastAsia="en-GB"/>
              </w:rPr>
            </w:pPr>
            <w:r>
              <w:rPr>
                <w:rFonts w:ascii="Arial" w:hAnsi="Arial" w:cs="Arial"/>
                <w:b/>
                <w:sz w:val="24"/>
                <w:szCs w:val="24"/>
                <w:lang w:eastAsia="en-GB"/>
              </w:rPr>
              <w:t>Waste Disposal and Collection Service</w:t>
            </w:r>
          </w:p>
          <w:p w14:paraId="2AF4E939" w14:textId="77777777" w:rsidR="008077C5" w:rsidRPr="00845BE3" w:rsidRDefault="008077C5" w:rsidP="008077C5">
            <w:pPr>
              <w:pStyle w:val="NoSpacing"/>
              <w:jc w:val="center"/>
              <w:rPr>
                <w:sz w:val="24"/>
                <w:szCs w:val="24"/>
                <w:lang w:eastAsia="en-GB"/>
              </w:rPr>
            </w:pPr>
          </w:p>
        </w:tc>
      </w:tr>
      <w:tr w:rsidR="0022033B" w:rsidRPr="00845BE3" w14:paraId="79AE7091" w14:textId="77777777"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14:paraId="7B074B77" w14:textId="77777777"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14:paraId="61E718C7" w14:textId="77777777" w:rsidR="0022033B" w:rsidRPr="00845BE3" w:rsidRDefault="0022033B" w:rsidP="00ED5605">
            <w:pPr>
              <w:pStyle w:val="NoSpacing"/>
              <w:rPr>
                <w:rFonts w:ascii="Arial" w:hAnsi="Arial" w:cs="Arial"/>
                <w:sz w:val="24"/>
                <w:szCs w:val="24"/>
                <w:lang w:eastAsia="en-GB"/>
              </w:rPr>
            </w:pPr>
            <w:proofErr w:type="spellStart"/>
            <w:r>
              <w:rPr>
                <w:rFonts w:ascii="Arial" w:hAnsi="Arial" w:cs="Arial"/>
                <w:sz w:val="24"/>
                <w:szCs w:val="24"/>
                <w:lang w:eastAsia="en-GB"/>
              </w:rPr>
              <w:t>SLA_Waste</w:t>
            </w:r>
            <w:proofErr w:type="spellEnd"/>
            <w:r>
              <w:rPr>
                <w:rFonts w:ascii="Arial" w:hAnsi="Arial" w:cs="Arial"/>
                <w:sz w:val="24"/>
                <w:szCs w:val="24"/>
                <w:lang w:eastAsia="en-GB"/>
              </w:rPr>
              <w:t xml:space="preserve"> Disposal and Collection Service</w:t>
            </w:r>
          </w:p>
        </w:tc>
      </w:tr>
      <w:tr w:rsidR="0022033B" w:rsidRPr="00845BE3" w14:paraId="3851C1ED" w14:textId="77777777"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14:paraId="3421688E" w14:textId="77777777"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14:paraId="00B4EF6C" w14:textId="47BEC115" w:rsidR="0022033B" w:rsidRPr="00845BE3" w:rsidRDefault="009D0BBF" w:rsidP="00ED5605">
            <w:pPr>
              <w:pStyle w:val="NoSpacing"/>
              <w:rPr>
                <w:rFonts w:ascii="Arial" w:hAnsi="Arial" w:cs="Arial"/>
                <w:sz w:val="24"/>
                <w:szCs w:val="24"/>
                <w:lang w:eastAsia="en-GB"/>
              </w:rPr>
            </w:pPr>
            <w:r>
              <w:rPr>
                <w:rFonts w:ascii="Arial" w:hAnsi="Arial" w:cs="Arial"/>
                <w:sz w:val="24"/>
                <w:szCs w:val="24"/>
                <w:lang w:eastAsia="en-GB"/>
              </w:rPr>
              <w:t>8</w:t>
            </w:r>
          </w:p>
        </w:tc>
      </w:tr>
      <w:tr w:rsidR="0022033B" w:rsidRPr="00845BE3" w14:paraId="2E0CD56C" w14:textId="77777777"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14:paraId="338963B6" w14:textId="77777777"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14:paraId="38C30E6A" w14:textId="78A63247" w:rsidR="0022033B" w:rsidRPr="00845BE3" w:rsidRDefault="0022033B" w:rsidP="00CC14C0">
            <w:pPr>
              <w:pStyle w:val="NoSpacing"/>
              <w:rPr>
                <w:rFonts w:ascii="Arial" w:hAnsi="Arial" w:cs="Arial"/>
                <w:sz w:val="24"/>
                <w:szCs w:val="24"/>
                <w:lang w:eastAsia="en-GB"/>
              </w:rPr>
            </w:pPr>
            <w:r>
              <w:rPr>
                <w:rFonts w:ascii="Arial" w:hAnsi="Arial" w:cs="Arial"/>
                <w:sz w:val="24"/>
                <w:szCs w:val="24"/>
                <w:lang w:eastAsia="en-GB"/>
              </w:rPr>
              <w:t>March 202</w:t>
            </w:r>
            <w:r w:rsidR="009D0BBF">
              <w:rPr>
                <w:rFonts w:ascii="Arial" w:hAnsi="Arial" w:cs="Arial"/>
                <w:sz w:val="24"/>
                <w:szCs w:val="24"/>
                <w:lang w:eastAsia="en-GB"/>
              </w:rPr>
              <w:t>6</w:t>
            </w:r>
          </w:p>
        </w:tc>
      </w:tr>
      <w:tr w:rsidR="0022033B" w:rsidRPr="00845BE3" w14:paraId="5356B7A7" w14:textId="77777777"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14:paraId="3D644CB4" w14:textId="77777777" w:rsidR="0022033B" w:rsidRPr="00845BE3" w:rsidRDefault="0022033B" w:rsidP="00ED5605">
            <w:pPr>
              <w:pStyle w:val="NoSpacing"/>
              <w:rPr>
                <w:rFonts w:ascii="Arial" w:hAnsi="Arial" w:cs="Arial"/>
                <w:b/>
                <w:sz w:val="24"/>
                <w:szCs w:val="24"/>
                <w:lang w:eastAsia="en-GB"/>
              </w:rPr>
            </w:pPr>
            <w:r>
              <w:rPr>
                <w:rFonts w:ascii="Arial" w:hAnsi="Arial" w:cs="Arial"/>
                <w:b/>
                <w:sz w:val="24"/>
                <w:szCs w:val="24"/>
                <w:lang w:eastAsia="en-GB"/>
              </w:rPr>
              <w:t>SLA status</w:t>
            </w:r>
          </w:p>
        </w:tc>
        <w:tc>
          <w:tcPr>
            <w:tcW w:w="6946" w:type="dxa"/>
            <w:vAlign w:val="center"/>
          </w:tcPr>
          <w:p w14:paraId="4BDF5F45" w14:textId="77777777" w:rsidR="0022033B" w:rsidRPr="00845BE3" w:rsidRDefault="0022033B" w:rsidP="0022033B">
            <w:pPr>
              <w:pStyle w:val="NoSpacing"/>
              <w:rPr>
                <w:rFonts w:ascii="Arial" w:hAnsi="Arial" w:cs="Arial"/>
                <w:sz w:val="24"/>
                <w:szCs w:val="24"/>
                <w:lang w:eastAsia="en-GB"/>
              </w:rPr>
            </w:pPr>
            <w:r>
              <w:rPr>
                <w:rFonts w:ascii="Arial" w:hAnsi="Arial" w:cs="Arial"/>
                <w:sz w:val="24"/>
                <w:szCs w:val="24"/>
                <w:lang w:eastAsia="en-GB"/>
              </w:rPr>
              <w:t xml:space="preserve">Mandatory </w:t>
            </w:r>
          </w:p>
        </w:tc>
      </w:tr>
      <w:tr w:rsidR="0022033B" w:rsidRPr="00845BE3" w14:paraId="008BA946" w14:textId="77777777"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14:paraId="40D0567D" w14:textId="77777777"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Author</w:t>
            </w:r>
          </w:p>
        </w:tc>
        <w:tc>
          <w:tcPr>
            <w:tcW w:w="6946" w:type="dxa"/>
            <w:vAlign w:val="center"/>
          </w:tcPr>
          <w:p w14:paraId="1392C491" w14:textId="28722277" w:rsidR="0022033B" w:rsidRPr="00845BE3" w:rsidRDefault="009D0BBF" w:rsidP="009D0BBF">
            <w:pPr>
              <w:pStyle w:val="NoSpacing"/>
              <w:rPr>
                <w:rFonts w:ascii="Arial" w:hAnsi="Arial" w:cs="Arial"/>
                <w:sz w:val="24"/>
                <w:szCs w:val="24"/>
                <w:lang w:eastAsia="en-GB"/>
              </w:rPr>
            </w:pPr>
            <w:r>
              <w:rPr>
                <w:rFonts w:ascii="Arial" w:hAnsi="Arial" w:cs="Arial"/>
                <w:sz w:val="24"/>
                <w:szCs w:val="24"/>
                <w:lang w:eastAsia="en-GB"/>
              </w:rPr>
              <w:t>Peter Maclean</w:t>
            </w:r>
          </w:p>
        </w:tc>
      </w:tr>
      <w:tr w:rsidR="0022033B" w:rsidRPr="00845BE3" w14:paraId="230CAD21" w14:textId="77777777"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14:paraId="08E9978F" w14:textId="77777777"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14:paraId="0467F41D" w14:textId="7CD4DC76" w:rsidR="0022033B" w:rsidRPr="00845BE3" w:rsidRDefault="009D0BBF" w:rsidP="009D0BBF">
            <w:pPr>
              <w:pStyle w:val="NoSpacing"/>
              <w:rPr>
                <w:rFonts w:ascii="Arial" w:hAnsi="Arial" w:cs="Arial"/>
                <w:sz w:val="24"/>
                <w:szCs w:val="24"/>
                <w:lang w:eastAsia="en-GB"/>
              </w:rPr>
            </w:pPr>
            <w:r>
              <w:rPr>
                <w:rFonts w:ascii="Arial" w:hAnsi="Arial" w:cs="Arial"/>
                <w:sz w:val="24"/>
                <w:szCs w:val="24"/>
                <w:lang w:eastAsia="en-GB"/>
              </w:rPr>
              <w:t xml:space="preserve">David </w:t>
            </w:r>
            <w:proofErr w:type="spellStart"/>
            <w:r>
              <w:rPr>
                <w:rFonts w:ascii="Arial" w:hAnsi="Arial" w:cs="Arial"/>
                <w:sz w:val="24"/>
                <w:szCs w:val="24"/>
                <w:lang w:eastAsia="en-GB"/>
              </w:rPr>
              <w:t>Pfleger</w:t>
            </w:r>
            <w:proofErr w:type="spellEnd"/>
          </w:p>
        </w:tc>
      </w:tr>
    </w:tbl>
    <w:p w14:paraId="385A89BE" w14:textId="77777777" w:rsidR="0022033B" w:rsidRPr="00845BE3" w:rsidRDefault="0022033B" w:rsidP="0022033B">
      <w:pPr>
        <w:pStyle w:val="NoSpacing"/>
        <w:rPr>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22033B" w:rsidRPr="00845BE3" w14:paraId="666DF3E3" w14:textId="77777777" w:rsidTr="00ED5605">
        <w:trPr>
          <w:trHeight w:val="567"/>
        </w:trPr>
        <w:tc>
          <w:tcPr>
            <w:tcW w:w="9006" w:type="dxa"/>
            <w:gridSpan w:val="3"/>
          </w:tcPr>
          <w:p w14:paraId="04630971" w14:textId="77777777"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22033B" w:rsidRPr="00845BE3" w14:paraId="1A4074CD" w14:textId="77777777" w:rsidTr="00ED5605">
        <w:trPr>
          <w:trHeight w:val="567"/>
        </w:trPr>
        <w:tc>
          <w:tcPr>
            <w:tcW w:w="2112" w:type="dxa"/>
          </w:tcPr>
          <w:p w14:paraId="23324261" w14:textId="77777777"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42" w:type="dxa"/>
          </w:tcPr>
          <w:p w14:paraId="5A2940D4" w14:textId="77777777"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52" w:type="dxa"/>
          </w:tcPr>
          <w:p w14:paraId="7BA8EAB1" w14:textId="77777777"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22033B" w:rsidRPr="00845BE3" w14:paraId="36F8540A" w14:textId="77777777" w:rsidTr="00ED5605">
        <w:trPr>
          <w:trHeight w:val="567"/>
        </w:trPr>
        <w:tc>
          <w:tcPr>
            <w:tcW w:w="2112" w:type="dxa"/>
          </w:tcPr>
          <w:p w14:paraId="35CD908C"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1</w:t>
            </w:r>
          </w:p>
        </w:tc>
        <w:tc>
          <w:tcPr>
            <w:tcW w:w="1842" w:type="dxa"/>
          </w:tcPr>
          <w:p w14:paraId="2A2F2DEB" w14:textId="77777777" w:rsidR="0022033B" w:rsidRDefault="0022033B" w:rsidP="00ED5605">
            <w:pPr>
              <w:pStyle w:val="NoSpacing"/>
              <w:rPr>
                <w:rFonts w:ascii="Arial" w:hAnsi="Arial" w:cs="Arial"/>
                <w:sz w:val="24"/>
                <w:szCs w:val="24"/>
                <w:lang w:eastAsia="en-GB"/>
              </w:rPr>
            </w:pPr>
            <w:r>
              <w:rPr>
                <w:rFonts w:ascii="Arial" w:hAnsi="Arial" w:cs="Arial"/>
                <w:sz w:val="24"/>
                <w:szCs w:val="24"/>
                <w:lang w:eastAsia="en-GB"/>
              </w:rPr>
              <w:t>2018</w:t>
            </w:r>
          </w:p>
          <w:p w14:paraId="6F0148CA" w14:textId="77777777" w:rsidR="0022033B" w:rsidRPr="00845BE3" w:rsidRDefault="0022033B" w:rsidP="00ED5605">
            <w:pPr>
              <w:pStyle w:val="NoSpacing"/>
              <w:rPr>
                <w:rFonts w:ascii="Arial" w:hAnsi="Arial" w:cs="Arial"/>
                <w:sz w:val="24"/>
                <w:szCs w:val="24"/>
                <w:lang w:eastAsia="en-GB"/>
              </w:rPr>
            </w:pPr>
          </w:p>
        </w:tc>
        <w:tc>
          <w:tcPr>
            <w:tcW w:w="5052" w:type="dxa"/>
          </w:tcPr>
          <w:p w14:paraId="1F5264F8"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New SLA</w:t>
            </w:r>
          </w:p>
        </w:tc>
      </w:tr>
      <w:tr w:rsidR="0022033B" w:rsidRPr="00845BE3" w14:paraId="712C6280" w14:textId="77777777" w:rsidTr="00ED5605">
        <w:trPr>
          <w:trHeight w:val="567"/>
        </w:trPr>
        <w:tc>
          <w:tcPr>
            <w:tcW w:w="2112" w:type="dxa"/>
          </w:tcPr>
          <w:p w14:paraId="6FBCC438"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2</w:t>
            </w:r>
          </w:p>
        </w:tc>
        <w:tc>
          <w:tcPr>
            <w:tcW w:w="1842" w:type="dxa"/>
          </w:tcPr>
          <w:p w14:paraId="37C08836"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2019</w:t>
            </w:r>
          </w:p>
        </w:tc>
        <w:tc>
          <w:tcPr>
            <w:tcW w:w="5052" w:type="dxa"/>
          </w:tcPr>
          <w:p w14:paraId="703660CC"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Annual Update</w:t>
            </w:r>
          </w:p>
        </w:tc>
      </w:tr>
      <w:tr w:rsidR="0022033B" w:rsidRPr="00845BE3" w14:paraId="5150B931" w14:textId="77777777" w:rsidTr="00ED5605">
        <w:trPr>
          <w:trHeight w:val="567"/>
        </w:trPr>
        <w:tc>
          <w:tcPr>
            <w:tcW w:w="2112" w:type="dxa"/>
          </w:tcPr>
          <w:p w14:paraId="4ECBB406"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3</w:t>
            </w:r>
          </w:p>
        </w:tc>
        <w:tc>
          <w:tcPr>
            <w:tcW w:w="1842" w:type="dxa"/>
          </w:tcPr>
          <w:p w14:paraId="77C616D4"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2020</w:t>
            </w:r>
          </w:p>
        </w:tc>
        <w:tc>
          <w:tcPr>
            <w:tcW w:w="5052" w:type="dxa"/>
          </w:tcPr>
          <w:p w14:paraId="0566BC41"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Annual Update</w:t>
            </w:r>
          </w:p>
        </w:tc>
      </w:tr>
      <w:tr w:rsidR="0022033B" w:rsidRPr="00845BE3" w14:paraId="7D073049" w14:textId="77777777" w:rsidTr="00ED5605">
        <w:trPr>
          <w:trHeight w:val="567"/>
        </w:trPr>
        <w:tc>
          <w:tcPr>
            <w:tcW w:w="2112" w:type="dxa"/>
          </w:tcPr>
          <w:p w14:paraId="20DD73C1"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4</w:t>
            </w:r>
          </w:p>
        </w:tc>
        <w:tc>
          <w:tcPr>
            <w:tcW w:w="1842" w:type="dxa"/>
          </w:tcPr>
          <w:p w14:paraId="6AAE7C9E"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Sept 2020</w:t>
            </w:r>
          </w:p>
        </w:tc>
        <w:tc>
          <w:tcPr>
            <w:tcW w:w="5052" w:type="dxa"/>
          </w:tcPr>
          <w:p w14:paraId="42EF9A81" w14:textId="77777777"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Update Sharps Waste and Audit</w:t>
            </w:r>
          </w:p>
        </w:tc>
      </w:tr>
      <w:tr w:rsidR="0022033B" w:rsidRPr="00845BE3" w14:paraId="210A3E30" w14:textId="77777777" w:rsidTr="00ED5605">
        <w:trPr>
          <w:trHeight w:val="567"/>
        </w:trPr>
        <w:tc>
          <w:tcPr>
            <w:tcW w:w="2112" w:type="dxa"/>
          </w:tcPr>
          <w:p w14:paraId="17D4502A" w14:textId="77777777" w:rsidR="0022033B" w:rsidRDefault="0022033B" w:rsidP="00ED5605">
            <w:pPr>
              <w:pStyle w:val="NoSpacing"/>
              <w:rPr>
                <w:rFonts w:ascii="Arial" w:hAnsi="Arial" w:cs="Arial"/>
                <w:sz w:val="24"/>
                <w:szCs w:val="24"/>
                <w:lang w:eastAsia="en-GB"/>
              </w:rPr>
            </w:pPr>
            <w:r>
              <w:rPr>
                <w:rFonts w:ascii="Arial" w:hAnsi="Arial" w:cs="Arial"/>
                <w:sz w:val="24"/>
                <w:szCs w:val="24"/>
                <w:lang w:eastAsia="en-GB"/>
              </w:rPr>
              <w:t>5</w:t>
            </w:r>
          </w:p>
        </w:tc>
        <w:tc>
          <w:tcPr>
            <w:tcW w:w="1842" w:type="dxa"/>
          </w:tcPr>
          <w:p w14:paraId="4714279C" w14:textId="77777777" w:rsidR="0022033B" w:rsidRDefault="0022033B" w:rsidP="00ED5605">
            <w:pPr>
              <w:pStyle w:val="NoSpacing"/>
              <w:rPr>
                <w:rFonts w:ascii="Arial" w:hAnsi="Arial" w:cs="Arial"/>
                <w:sz w:val="24"/>
                <w:szCs w:val="24"/>
                <w:lang w:eastAsia="en-GB"/>
              </w:rPr>
            </w:pPr>
            <w:r>
              <w:rPr>
                <w:rFonts w:ascii="Arial" w:hAnsi="Arial" w:cs="Arial"/>
                <w:sz w:val="24"/>
                <w:szCs w:val="24"/>
                <w:lang w:eastAsia="en-GB"/>
              </w:rPr>
              <w:t>2021</w:t>
            </w:r>
          </w:p>
        </w:tc>
        <w:tc>
          <w:tcPr>
            <w:tcW w:w="5052" w:type="dxa"/>
          </w:tcPr>
          <w:p w14:paraId="6B406908" w14:textId="77777777" w:rsidR="0022033B" w:rsidRDefault="0022033B" w:rsidP="00ED5605">
            <w:pPr>
              <w:pStyle w:val="NoSpacing"/>
              <w:rPr>
                <w:rFonts w:ascii="Arial" w:hAnsi="Arial" w:cs="Arial"/>
                <w:sz w:val="24"/>
                <w:szCs w:val="24"/>
                <w:lang w:eastAsia="en-GB"/>
              </w:rPr>
            </w:pPr>
            <w:r>
              <w:rPr>
                <w:rFonts w:ascii="Arial" w:hAnsi="Arial" w:cs="Arial"/>
                <w:sz w:val="24"/>
                <w:szCs w:val="24"/>
                <w:lang w:eastAsia="en-GB"/>
              </w:rPr>
              <w:t>Annual Update</w:t>
            </w:r>
          </w:p>
        </w:tc>
      </w:tr>
      <w:tr w:rsidR="00232757" w:rsidRPr="00845BE3" w14:paraId="02A2BC17" w14:textId="77777777" w:rsidTr="00ED5605">
        <w:trPr>
          <w:trHeight w:val="567"/>
        </w:trPr>
        <w:tc>
          <w:tcPr>
            <w:tcW w:w="2112" w:type="dxa"/>
          </w:tcPr>
          <w:p w14:paraId="210068AB" w14:textId="77777777" w:rsidR="00232757" w:rsidRDefault="00232757" w:rsidP="00ED5605">
            <w:pPr>
              <w:pStyle w:val="NoSpacing"/>
              <w:rPr>
                <w:rFonts w:ascii="Arial" w:hAnsi="Arial" w:cs="Arial"/>
                <w:sz w:val="24"/>
                <w:szCs w:val="24"/>
                <w:lang w:eastAsia="en-GB"/>
              </w:rPr>
            </w:pPr>
            <w:r>
              <w:rPr>
                <w:rFonts w:ascii="Arial" w:hAnsi="Arial" w:cs="Arial"/>
                <w:sz w:val="24"/>
                <w:szCs w:val="24"/>
                <w:lang w:eastAsia="en-GB"/>
              </w:rPr>
              <w:t>6</w:t>
            </w:r>
          </w:p>
        </w:tc>
        <w:tc>
          <w:tcPr>
            <w:tcW w:w="1842" w:type="dxa"/>
          </w:tcPr>
          <w:p w14:paraId="27BC2890" w14:textId="77777777" w:rsidR="00232757" w:rsidRDefault="00232757" w:rsidP="00ED5605">
            <w:pPr>
              <w:pStyle w:val="NoSpacing"/>
              <w:rPr>
                <w:rFonts w:ascii="Arial" w:hAnsi="Arial" w:cs="Arial"/>
                <w:sz w:val="24"/>
                <w:szCs w:val="24"/>
                <w:lang w:eastAsia="en-GB"/>
              </w:rPr>
            </w:pPr>
            <w:r>
              <w:rPr>
                <w:rFonts w:ascii="Arial" w:hAnsi="Arial" w:cs="Arial"/>
                <w:sz w:val="24"/>
                <w:szCs w:val="24"/>
                <w:lang w:eastAsia="en-GB"/>
              </w:rPr>
              <w:t>April 2023</w:t>
            </w:r>
          </w:p>
        </w:tc>
        <w:tc>
          <w:tcPr>
            <w:tcW w:w="5052" w:type="dxa"/>
          </w:tcPr>
          <w:p w14:paraId="786CD7E1" w14:textId="77777777" w:rsidR="00232757" w:rsidRDefault="00232757" w:rsidP="00ED5605">
            <w:pPr>
              <w:pStyle w:val="NoSpacing"/>
              <w:rPr>
                <w:rFonts w:ascii="Arial" w:hAnsi="Arial" w:cs="Arial"/>
                <w:sz w:val="24"/>
                <w:szCs w:val="24"/>
                <w:lang w:eastAsia="en-GB"/>
              </w:rPr>
            </w:pPr>
            <w:r>
              <w:rPr>
                <w:rFonts w:ascii="Arial" w:hAnsi="Arial" w:cs="Arial"/>
                <w:sz w:val="24"/>
                <w:szCs w:val="24"/>
                <w:lang w:eastAsia="en-GB"/>
              </w:rPr>
              <w:t>Annual Update</w:t>
            </w:r>
          </w:p>
        </w:tc>
      </w:tr>
      <w:tr w:rsidR="009D0BBF" w:rsidRPr="00845BE3" w14:paraId="24320E63" w14:textId="77777777" w:rsidTr="00ED5605">
        <w:trPr>
          <w:trHeight w:val="567"/>
        </w:trPr>
        <w:tc>
          <w:tcPr>
            <w:tcW w:w="2112" w:type="dxa"/>
          </w:tcPr>
          <w:p w14:paraId="33F77590" w14:textId="2F5EA297" w:rsidR="009D0BBF" w:rsidRDefault="009D0BBF" w:rsidP="00ED5605">
            <w:pPr>
              <w:pStyle w:val="NoSpacing"/>
              <w:rPr>
                <w:rFonts w:ascii="Arial" w:hAnsi="Arial" w:cs="Arial"/>
                <w:sz w:val="24"/>
                <w:szCs w:val="24"/>
                <w:lang w:eastAsia="en-GB"/>
              </w:rPr>
            </w:pPr>
            <w:r>
              <w:rPr>
                <w:rFonts w:ascii="Arial" w:hAnsi="Arial" w:cs="Arial"/>
                <w:sz w:val="24"/>
                <w:szCs w:val="24"/>
                <w:lang w:eastAsia="en-GB"/>
              </w:rPr>
              <w:t>7</w:t>
            </w:r>
          </w:p>
        </w:tc>
        <w:tc>
          <w:tcPr>
            <w:tcW w:w="1842" w:type="dxa"/>
          </w:tcPr>
          <w:p w14:paraId="3765EA6F" w14:textId="5C903E4A" w:rsidR="009D0BBF" w:rsidRDefault="009D0BBF" w:rsidP="00ED5605">
            <w:pPr>
              <w:pStyle w:val="NoSpacing"/>
              <w:rPr>
                <w:rFonts w:ascii="Arial" w:hAnsi="Arial" w:cs="Arial"/>
                <w:sz w:val="24"/>
                <w:szCs w:val="24"/>
                <w:lang w:eastAsia="en-GB"/>
              </w:rPr>
            </w:pPr>
            <w:r>
              <w:rPr>
                <w:rFonts w:ascii="Arial" w:hAnsi="Arial" w:cs="Arial"/>
                <w:sz w:val="24"/>
                <w:szCs w:val="24"/>
                <w:lang w:eastAsia="en-GB"/>
              </w:rPr>
              <w:t>April 2024</w:t>
            </w:r>
          </w:p>
        </w:tc>
        <w:tc>
          <w:tcPr>
            <w:tcW w:w="5052" w:type="dxa"/>
          </w:tcPr>
          <w:p w14:paraId="5BDF64FC" w14:textId="24B28902" w:rsidR="009D0BBF" w:rsidRDefault="009D0BBF" w:rsidP="00ED5605">
            <w:pPr>
              <w:pStyle w:val="NoSpacing"/>
              <w:rPr>
                <w:rFonts w:ascii="Arial" w:hAnsi="Arial" w:cs="Arial"/>
                <w:sz w:val="24"/>
                <w:szCs w:val="24"/>
                <w:lang w:eastAsia="en-GB"/>
              </w:rPr>
            </w:pPr>
            <w:r>
              <w:rPr>
                <w:rFonts w:ascii="Arial" w:hAnsi="Arial" w:cs="Arial"/>
                <w:sz w:val="24"/>
                <w:szCs w:val="24"/>
                <w:lang w:eastAsia="en-GB"/>
              </w:rPr>
              <w:t>Annual Update</w:t>
            </w:r>
          </w:p>
        </w:tc>
      </w:tr>
      <w:tr w:rsidR="009D0BBF" w:rsidRPr="00845BE3" w14:paraId="7E48AA30" w14:textId="77777777" w:rsidTr="00ED5605">
        <w:trPr>
          <w:trHeight w:val="567"/>
        </w:trPr>
        <w:tc>
          <w:tcPr>
            <w:tcW w:w="2112" w:type="dxa"/>
          </w:tcPr>
          <w:p w14:paraId="40BBD0A4" w14:textId="44B5DEBC" w:rsidR="009D0BBF" w:rsidRDefault="009D0BBF" w:rsidP="00ED5605">
            <w:pPr>
              <w:pStyle w:val="NoSpacing"/>
              <w:rPr>
                <w:rFonts w:ascii="Arial" w:hAnsi="Arial" w:cs="Arial"/>
                <w:sz w:val="24"/>
                <w:szCs w:val="24"/>
                <w:lang w:eastAsia="en-GB"/>
              </w:rPr>
            </w:pPr>
            <w:r>
              <w:rPr>
                <w:rFonts w:ascii="Arial" w:hAnsi="Arial" w:cs="Arial"/>
                <w:sz w:val="24"/>
                <w:szCs w:val="24"/>
                <w:lang w:eastAsia="en-GB"/>
              </w:rPr>
              <w:t>8</w:t>
            </w:r>
          </w:p>
        </w:tc>
        <w:tc>
          <w:tcPr>
            <w:tcW w:w="1842" w:type="dxa"/>
          </w:tcPr>
          <w:p w14:paraId="003FE957" w14:textId="102EB056" w:rsidR="009D0BBF" w:rsidRDefault="009D0BBF" w:rsidP="00ED5605">
            <w:pPr>
              <w:pStyle w:val="NoSpacing"/>
              <w:rPr>
                <w:rFonts w:ascii="Arial" w:hAnsi="Arial" w:cs="Arial"/>
                <w:sz w:val="24"/>
                <w:szCs w:val="24"/>
                <w:lang w:eastAsia="en-GB"/>
              </w:rPr>
            </w:pPr>
            <w:r>
              <w:rPr>
                <w:rFonts w:ascii="Arial" w:hAnsi="Arial" w:cs="Arial"/>
                <w:sz w:val="24"/>
                <w:szCs w:val="24"/>
                <w:lang w:eastAsia="en-GB"/>
              </w:rPr>
              <w:t>April 2025</w:t>
            </w:r>
          </w:p>
        </w:tc>
        <w:tc>
          <w:tcPr>
            <w:tcW w:w="5052" w:type="dxa"/>
          </w:tcPr>
          <w:p w14:paraId="2EE76634" w14:textId="6A2F8524" w:rsidR="009D0BBF" w:rsidRDefault="009D0BBF" w:rsidP="00ED5605">
            <w:pPr>
              <w:pStyle w:val="NoSpacing"/>
              <w:rPr>
                <w:rFonts w:ascii="Arial" w:hAnsi="Arial" w:cs="Arial"/>
                <w:sz w:val="24"/>
                <w:szCs w:val="24"/>
                <w:lang w:eastAsia="en-GB"/>
              </w:rPr>
            </w:pPr>
            <w:r>
              <w:rPr>
                <w:rFonts w:ascii="Arial" w:hAnsi="Arial" w:cs="Arial"/>
                <w:sz w:val="24"/>
                <w:szCs w:val="24"/>
                <w:lang w:eastAsia="en-GB"/>
              </w:rPr>
              <w:t>Annual Update</w:t>
            </w:r>
          </w:p>
        </w:tc>
      </w:tr>
    </w:tbl>
    <w:p w14:paraId="381680D1" w14:textId="77777777" w:rsidR="0022033B" w:rsidRPr="00845BE3" w:rsidRDefault="0022033B" w:rsidP="0022033B">
      <w:pPr>
        <w:pStyle w:val="NoSpacing"/>
        <w:rPr>
          <w:sz w:val="24"/>
          <w:szCs w:val="24"/>
          <w:lang w:eastAsia="en-GB"/>
        </w:rPr>
      </w:pPr>
    </w:p>
    <w:p w14:paraId="5258B030" w14:textId="77777777" w:rsidR="0022033B" w:rsidRPr="00845BE3" w:rsidRDefault="0022033B" w:rsidP="0022033B">
      <w:pPr>
        <w:pStyle w:val="NoSpacing"/>
        <w:rPr>
          <w:sz w:val="24"/>
          <w:szCs w:val="24"/>
          <w:lang w:eastAsia="en-GB"/>
        </w:rPr>
      </w:pPr>
    </w:p>
    <w:p w14:paraId="2F6BFF40" w14:textId="77777777" w:rsidR="0022033B" w:rsidRPr="00845BE3" w:rsidRDefault="0022033B" w:rsidP="0022033B">
      <w:pPr>
        <w:pStyle w:val="NoSpacing"/>
        <w:rPr>
          <w:sz w:val="24"/>
          <w:szCs w:val="24"/>
          <w:lang w:eastAsia="en-GB"/>
        </w:rPr>
      </w:pPr>
    </w:p>
    <w:p w14:paraId="5D2BFD9C" w14:textId="77777777" w:rsidR="0022033B" w:rsidRDefault="0022033B" w:rsidP="0022033B">
      <w:pPr>
        <w:pStyle w:val="NoSpacing"/>
        <w:rPr>
          <w:sz w:val="24"/>
          <w:szCs w:val="24"/>
          <w:lang w:eastAsia="en-GB"/>
        </w:rPr>
      </w:pPr>
    </w:p>
    <w:p w14:paraId="7BAD2ED2" w14:textId="77777777" w:rsidR="00797021" w:rsidRDefault="00797021" w:rsidP="0022033B">
      <w:pPr>
        <w:pStyle w:val="NoSpacing"/>
        <w:rPr>
          <w:sz w:val="24"/>
          <w:szCs w:val="24"/>
          <w:lang w:eastAsia="en-GB"/>
        </w:rPr>
      </w:pPr>
    </w:p>
    <w:p w14:paraId="3DEA36BC" w14:textId="77777777" w:rsidR="00797021" w:rsidRDefault="00797021" w:rsidP="0022033B">
      <w:pPr>
        <w:pStyle w:val="NoSpacing"/>
        <w:rPr>
          <w:sz w:val="24"/>
          <w:szCs w:val="24"/>
          <w:lang w:eastAsia="en-GB"/>
        </w:rPr>
      </w:pPr>
    </w:p>
    <w:p w14:paraId="5D429B4B" w14:textId="77777777" w:rsidR="00797021" w:rsidRDefault="00797021" w:rsidP="0022033B">
      <w:pPr>
        <w:pStyle w:val="NoSpacing"/>
        <w:rPr>
          <w:sz w:val="24"/>
          <w:szCs w:val="24"/>
          <w:lang w:eastAsia="en-GB"/>
        </w:rPr>
      </w:pPr>
    </w:p>
    <w:p w14:paraId="5F4C73A5" w14:textId="77777777" w:rsidR="00797021" w:rsidRDefault="00797021" w:rsidP="0022033B">
      <w:pPr>
        <w:pStyle w:val="NoSpacing"/>
        <w:rPr>
          <w:sz w:val="24"/>
          <w:szCs w:val="24"/>
          <w:lang w:eastAsia="en-GB"/>
        </w:rPr>
      </w:pPr>
    </w:p>
    <w:p w14:paraId="12FD7442" w14:textId="77777777" w:rsidR="00797021" w:rsidRDefault="00797021" w:rsidP="0022033B">
      <w:pPr>
        <w:pStyle w:val="NoSpacing"/>
        <w:rPr>
          <w:sz w:val="24"/>
          <w:szCs w:val="24"/>
          <w:lang w:eastAsia="en-GB"/>
        </w:rPr>
      </w:pPr>
    </w:p>
    <w:p w14:paraId="2061D05C" w14:textId="77777777" w:rsidR="00797021" w:rsidRPr="00845BE3" w:rsidRDefault="00797021" w:rsidP="0022033B">
      <w:pPr>
        <w:pStyle w:val="NoSpacing"/>
        <w:rPr>
          <w:sz w:val="24"/>
          <w:szCs w:val="24"/>
          <w:lang w:eastAsia="en-GB"/>
        </w:rPr>
      </w:pPr>
    </w:p>
    <w:p w14:paraId="63831EBB" w14:textId="77777777" w:rsidR="0022033B" w:rsidRPr="00845BE3" w:rsidRDefault="0022033B" w:rsidP="0022033B">
      <w:pPr>
        <w:pStyle w:val="NoSpacing"/>
        <w:rPr>
          <w:sz w:val="24"/>
          <w:szCs w:val="24"/>
          <w:lang w:eastAsia="en-GB"/>
        </w:rPr>
      </w:pPr>
    </w:p>
    <w:p w14:paraId="383EC673" w14:textId="77777777" w:rsidR="006D34E5" w:rsidRPr="006D34E5" w:rsidRDefault="006D34E5" w:rsidP="0022033B">
      <w:pPr>
        <w:spacing w:after="203" w:line="271" w:lineRule="auto"/>
        <w:rPr>
          <w:rFonts w:eastAsia="Calibri" w:cstheme="minorHAnsi"/>
          <w:color w:val="000000"/>
          <w:lang w:eastAsia="en-GB"/>
        </w:rPr>
      </w:pPr>
    </w:p>
    <w:tbl>
      <w:tblPr>
        <w:tblStyle w:val="TableGrid0"/>
        <w:tblW w:w="0" w:type="auto"/>
        <w:tblLook w:val="04A0" w:firstRow="1" w:lastRow="0" w:firstColumn="1" w:lastColumn="0" w:noHBand="0" w:noVBand="1"/>
      </w:tblPr>
      <w:tblGrid>
        <w:gridCol w:w="4507"/>
        <w:gridCol w:w="4509"/>
      </w:tblGrid>
      <w:tr w:rsidR="00797021" w14:paraId="62277233" w14:textId="77777777" w:rsidTr="006833BC">
        <w:tc>
          <w:tcPr>
            <w:tcW w:w="4530" w:type="dxa"/>
          </w:tcPr>
          <w:p w14:paraId="5B4FED70" w14:textId="77777777" w:rsidR="00797021" w:rsidRPr="00797021" w:rsidRDefault="00797021" w:rsidP="006833BC">
            <w:pPr>
              <w:rPr>
                <w:rFonts w:ascii="Arial" w:eastAsia="Times New Roman" w:hAnsi="Arial" w:cs="Times New Roman"/>
                <w:b/>
                <w:sz w:val="24"/>
                <w:szCs w:val="24"/>
                <w:lang w:eastAsia="en-GB"/>
              </w:rPr>
            </w:pPr>
            <w:r w:rsidRPr="00797021">
              <w:rPr>
                <w:rFonts w:ascii="Arial" w:eastAsia="Times New Roman" w:hAnsi="Arial" w:cs="Times New Roman"/>
                <w:b/>
                <w:sz w:val="24"/>
                <w:szCs w:val="24"/>
                <w:lang w:eastAsia="en-GB"/>
              </w:rPr>
              <w:t xml:space="preserve">Summary of Changes from Previous Version </w:t>
            </w:r>
          </w:p>
        </w:tc>
        <w:tc>
          <w:tcPr>
            <w:tcW w:w="4530" w:type="dxa"/>
          </w:tcPr>
          <w:p w14:paraId="6DBA331E" w14:textId="27D10DD1" w:rsidR="00797021" w:rsidRPr="00797021" w:rsidRDefault="00797021" w:rsidP="006833BC">
            <w:pPr>
              <w:rPr>
                <w:rFonts w:ascii="Arial" w:eastAsia="Times New Roman" w:hAnsi="Arial" w:cs="Times New Roman"/>
                <w:b/>
                <w:sz w:val="24"/>
                <w:szCs w:val="24"/>
                <w:lang w:eastAsia="en-GB"/>
              </w:rPr>
            </w:pPr>
            <w:r>
              <w:rPr>
                <w:rFonts w:ascii="Arial" w:eastAsia="Times New Roman" w:hAnsi="Arial" w:cs="Times New Roman"/>
                <w:sz w:val="24"/>
                <w:szCs w:val="24"/>
                <w:lang w:eastAsia="en-GB"/>
              </w:rPr>
              <w:t>No changes from previous version</w:t>
            </w:r>
          </w:p>
          <w:p w14:paraId="1B48032E" w14:textId="77777777" w:rsidR="00797021" w:rsidRPr="00797021" w:rsidRDefault="00797021" w:rsidP="006833BC">
            <w:pPr>
              <w:rPr>
                <w:rFonts w:ascii="Arial" w:eastAsia="Times New Roman" w:hAnsi="Arial" w:cs="Times New Roman"/>
                <w:b/>
                <w:sz w:val="24"/>
                <w:szCs w:val="24"/>
                <w:lang w:eastAsia="en-GB"/>
              </w:rPr>
            </w:pPr>
          </w:p>
          <w:p w14:paraId="34AECA29" w14:textId="77777777" w:rsidR="00797021" w:rsidRPr="00797021" w:rsidRDefault="00797021" w:rsidP="006833BC">
            <w:pPr>
              <w:rPr>
                <w:rFonts w:ascii="Arial" w:eastAsia="Times New Roman" w:hAnsi="Arial" w:cs="Times New Roman"/>
                <w:b/>
                <w:sz w:val="24"/>
                <w:szCs w:val="24"/>
                <w:lang w:eastAsia="en-GB"/>
              </w:rPr>
            </w:pPr>
          </w:p>
          <w:p w14:paraId="308E678E" w14:textId="77777777" w:rsidR="00797021" w:rsidRPr="00797021" w:rsidRDefault="00797021" w:rsidP="006833BC">
            <w:pPr>
              <w:rPr>
                <w:rFonts w:ascii="Arial" w:eastAsia="Times New Roman" w:hAnsi="Arial" w:cs="Times New Roman"/>
                <w:b/>
                <w:sz w:val="24"/>
                <w:szCs w:val="24"/>
                <w:lang w:eastAsia="en-GB"/>
              </w:rPr>
            </w:pPr>
          </w:p>
        </w:tc>
      </w:tr>
      <w:tr w:rsidR="00797021" w14:paraId="7E297AC2" w14:textId="77777777" w:rsidTr="006833BC">
        <w:tc>
          <w:tcPr>
            <w:tcW w:w="4530" w:type="dxa"/>
          </w:tcPr>
          <w:p w14:paraId="1E54F089" w14:textId="77777777" w:rsidR="00797021" w:rsidRPr="00797021" w:rsidRDefault="00797021" w:rsidP="006833BC">
            <w:pPr>
              <w:rPr>
                <w:rFonts w:ascii="Arial" w:eastAsia="Times New Roman" w:hAnsi="Arial" w:cs="Times New Roman"/>
                <w:b/>
                <w:sz w:val="24"/>
                <w:szCs w:val="24"/>
                <w:lang w:eastAsia="en-GB"/>
              </w:rPr>
            </w:pPr>
            <w:r w:rsidRPr="00797021">
              <w:rPr>
                <w:rFonts w:ascii="Arial" w:eastAsia="Times New Roman" w:hAnsi="Arial" w:cs="Times New Roman"/>
                <w:b/>
                <w:sz w:val="24"/>
                <w:szCs w:val="24"/>
                <w:lang w:eastAsia="en-GB"/>
              </w:rPr>
              <w:t>Supersedes</w:t>
            </w:r>
          </w:p>
        </w:tc>
        <w:tc>
          <w:tcPr>
            <w:tcW w:w="4530" w:type="dxa"/>
          </w:tcPr>
          <w:p w14:paraId="1A0BCA2B" w14:textId="77777777" w:rsidR="00797021" w:rsidRDefault="009D0BBF" w:rsidP="006833BC">
            <w:pPr>
              <w:rPr>
                <w:rFonts w:ascii="Arial" w:eastAsia="Times New Roman" w:hAnsi="Arial" w:cs="Times New Roman"/>
                <w:sz w:val="24"/>
                <w:szCs w:val="24"/>
                <w:lang w:eastAsia="en-GB"/>
              </w:rPr>
            </w:pPr>
            <w:r>
              <w:rPr>
                <w:rFonts w:ascii="Arial" w:eastAsia="Times New Roman" w:hAnsi="Arial" w:cs="Times New Roman"/>
                <w:sz w:val="24"/>
                <w:szCs w:val="24"/>
                <w:lang w:eastAsia="en-GB"/>
              </w:rPr>
              <w:t>Version 7 – April 2025</w:t>
            </w:r>
          </w:p>
          <w:p w14:paraId="3B9C81B9" w14:textId="1934B969" w:rsidR="009D0BBF" w:rsidRPr="00797021" w:rsidRDefault="009D0BBF" w:rsidP="006833BC">
            <w:pPr>
              <w:rPr>
                <w:rFonts w:ascii="Arial" w:eastAsia="Times New Roman" w:hAnsi="Arial" w:cs="Times New Roman"/>
                <w:sz w:val="24"/>
                <w:szCs w:val="24"/>
                <w:lang w:eastAsia="en-GB"/>
              </w:rPr>
            </w:pPr>
          </w:p>
        </w:tc>
      </w:tr>
      <w:tr w:rsidR="00797021" w14:paraId="13585732" w14:textId="77777777" w:rsidTr="006833BC">
        <w:tc>
          <w:tcPr>
            <w:tcW w:w="4530" w:type="dxa"/>
          </w:tcPr>
          <w:p w14:paraId="18575B8A" w14:textId="77777777" w:rsidR="00797021" w:rsidRPr="00797021" w:rsidRDefault="00797021" w:rsidP="006833BC">
            <w:pPr>
              <w:rPr>
                <w:rFonts w:ascii="Arial" w:eastAsia="Times New Roman" w:hAnsi="Arial" w:cs="Times New Roman"/>
                <w:b/>
                <w:sz w:val="24"/>
                <w:szCs w:val="24"/>
                <w:lang w:eastAsia="en-GB"/>
              </w:rPr>
            </w:pPr>
            <w:r w:rsidRPr="00797021">
              <w:rPr>
                <w:rFonts w:ascii="Arial" w:eastAsia="Times New Roman" w:hAnsi="Arial" w:cs="Times New Roman"/>
                <w:b/>
                <w:sz w:val="24"/>
                <w:szCs w:val="24"/>
                <w:lang w:eastAsia="en-GB"/>
              </w:rPr>
              <w:t xml:space="preserve">Consultation Undertaken </w:t>
            </w:r>
          </w:p>
        </w:tc>
        <w:tc>
          <w:tcPr>
            <w:tcW w:w="4530" w:type="dxa"/>
          </w:tcPr>
          <w:p w14:paraId="6A5F88BC" w14:textId="77777777" w:rsidR="00797021" w:rsidRPr="00797021" w:rsidRDefault="00797021" w:rsidP="006833BC">
            <w:pPr>
              <w:rPr>
                <w:rFonts w:ascii="Arial" w:eastAsia="Times New Roman" w:hAnsi="Arial" w:cs="Times New Roman"/>
                <w:b/>
                <w:sz w:val="24"/>
                <w:szCs w:val="24"/>
                <w:lang w:eastAsia="en-GB"/>
              </w:rPr>
            </w:pPr>
            <w:r w:rsidRPr="00797021">
              <w:rPr>
                <w:rFonts w:ascii="Arial" w:eastAsia="Times New Roman" w:hAnsi="Arial" w:cs="Times New Roman"/>
                <w:b/>
                <w:sz w:val="24"/>
                <w:szCs w:val="24"/>
                <w:lang w:eastAsia="en-GB"/>
              </w:rPr>
              <w:t xml:space="preserve">Laura Karim </w:t>
            </w:r>
          </w:p>
          <w:p w14:paraId="6E0D78B3" w14:textId="77777777" w:rsidR="00797021" w:rsidRPr="00797021" w:rsidRDefault="00797021" w:rsidP="006833BC">
            <w:pPr>
              <w:rPr>
                <w:rFonts w:ascii="Arial" w:eastAsia="Times New Roman" w:hAnsi="Arial" w:cs="Times New Roman"/>
                <w:sz w:val="24"/>
                <w:szCs w:val="24"/>
                <w:lang w:eastAsia="en-GB"/>
              </w:rPr>
            </w:pPr>
            <w:r w:rsidRPr="00797021">
              <w:rPr>
                <w:rFonts w:ascii="Arial" w:eastAsia="Times New Roman" w:hAnsi="Arial" w:cs="Times New Roman"/>
                <w:sz w:val="24"/>
                <w:szCs w:val="24"/>
                <w:lang w:eastAsia="en-GB"/>
              </w:rPr>
              <w:t>Pharmaceutical Care Services Improvement &amp; Development Manager</w:t>
            </w:r>
          </w:p>
          <w:p w14:paraId="15DC5428" w14:textId="77777777" w:rsidR="00797021" w:rsidRPr="00797021" w:rsidRDefault="00797021" w:rsidP="00797021">
            <w:pPr>
              <w:rPr>
                <w:rFonts w:ascii="Arial" w:eastAsia="Times New Roman" w:hAnsi="Arial" w:cs="Times New Roman"/>
                <w:b/>
                <w:sz w:val="24"/>
                <w:szCs w:val="24"/>
                <w:lang w:eastAsia="en-GB"/>
              </w:rPr>
            </w:pPr>
            <w:r w:rsidRPr="00797021">
              <w:rPr>
                <w:rFonts w:ascii="Arial" w:eastAsia="Times New Roman" w:hAnsi="Arial" w:cs="Times New Roman"/>
                <w:b/>
                <w:sz w:val="24"/>
                <w:szCs w:val="24"/>
                <w:lang w:eastAsia="en-GB"/>
              </w:rPr>
              <w:t xml:space="preserve">Neil Duncan </w:t>
            </w:r>
          </w:p>
          <w:p w14:paraId="40953003" w14:textId="77777777" w:rsidR="00797021" w:rsidRPr="00797021" w:rsidRDefault="00797021" w:rsidP="00797021">
            <w:pPr>
              <w:rPr>
                <w:rFonts w:ascii="Arial" w:eastAsia="Times New Roman" w:hAnsi="Arial" w:cs="Times New Roman"/>
                <w:sz w:val="24"/>
                <w:szCs w:val="24"/>
                <w:lang w:eastAsia="en-GB"/>
              </w:rPr>
            </w:pPr>
            <w:r>
              <w:rPr>
                <w:rFonts w:ascii="Arial" w:eastAsia="Times New Roman" w:hAnsi="Arial" w:cs="Times New Roman"/>
                <w:sz w:val="24"/>
                <w:szCs w:val="24"/>
                <w:lang w:eastAsia="en-GB"/>
              </w:rPr>
              <w:t>Waste Management Officer</w:t>
            </w:r>
          </w:p>
          <w:p w14:paraId="365FC6BF" w14:textId="77777777" w:rsidR="00797021" w:rsidRPr="00797021" w:rsidRDefault="00797021" w:rsidP="006833BC">
            <w:pPr>
              <w:rPr>
                <w:rFonts w:ascii="Arial" w:eastAsia="Times New Roman" w:hAnsi="Arial" w:cs="Times New Roman"/>
                <w:sz w:val="24"/>
                <w:szCs w:val="24"/>
                <w:lang w:eastAsia="en-GB"/>
              </w:rPr>
            </w:pPr>
          </w:p>
        </w:tc>
      </w:tr>
    </w:tbl>
    <w:p w14:paraId="3F15C96B" w14:textId="77777777" w:rsidR="00797021" w:rsidRDefault="00797021" w:rsidP="00797021">
      <w:pPr>
        <w:rPr>
          <w:szCs w:val="24"/>
        </w:rPr>
      </w:pPr>
    </w:p>
    <w:p w14:paraId="41DCE6D0" w14:textId="77777777" w:rsidR="00797021" w:rsidRDefault="00797021" w:rsidP="00797021">
      <w:pPr>
        <w:rPr>
          <w:szCs w:val="24"/>
        </w:rPr>
      </w:pPr>
    </w:p>
    <w:p w14:paraId="528F8457" w14:textId="77777777" w:rsidR="00797021" w:rsidRDefault="00797021" w:rsidP="00797021">
      <w:pPr>
        <w:rPr>
          <w:szCs w:val="24"/>
        </w:rPr>
      </w:pPr>
    </w:p>
    <w:p w14:paraId="66D4E215" w14:textId="77777777" w:rsidR="006D34E5" w:rsidRPr="006D34E5" w:rsidRDefault="006D34E5" w:rsidP="006D34E5">
      <w:pPr>
        <w:spacing w:after="203" w:line="271" w:lineRule="auto"/>
        <w:ind w:left="10" w:hanging="10"/>
        <w:rPr>
          <w:rFonts w:eastAsia="Calibri" w:cstheme="minorHAnsi"/>
          <w:color w:val="000000"/>
          <w:lang w:eastAsia="en-GB"/>
        </w:rPr>
      </w:pPr>
    </w:p>
    <w:p w14:paraId="0FF22FBA" w14:textId="77777777" w:rsidR="008077C5" w:rsidRDefault="008077C5">
      <w:pPr>
        <w:rPr>
          <w:rFonts w:eastAsia="Calibri" w:cstheme="minorHAnsi"/>
          <w:color w:val="000000"/>
          <w:lang w:eastAsia="en-GB"/>
        </w:rPr>
      </w:pPr>
      <w:r>
        <w:rPr>
          <w:rFonts w:eastAsia="Calibri" w:cstheme="minorHAnsi"/>
          <w:color w:val="000000"/>
          <w:lang w:eastAsia="en-GB"/>
        </w:rPr>
        <w:br w:type="page"/>
      </w:r>
    </w:p>
    <w:sdt>
      <w:sdtPr>
        <w:rPr>
          <w:rFonts w:asciiTheme="minorHAnsi" w:eastAsiaTheme="minorHAnsi" w:hAnsiTheme="minorHAnsi" w:cstheme="minorBidi"/>
          <w:color w:val="auto"/>
          <w:sz w:val="22"/>
          <w:szCs w:val="22"/>
          <w:lang w:val="en-GB"/>
        </w:rPr>
        <w:id w:val="-1533956452"/>
        <w:docPartObj>
          <w:docPartGallery w:val="Table of Contents"/>
          <w:docPartUnique/>
        </w:docPartObj>
      </w:sdtPr>
      <w:sdtEndPr>
        <w:rPr>
          <w:b/>
          <w:bCs/>
          <w:noProof/>
        </w:rPr>
      </w:sdtEndPr>
      <w:sdtContent>
        <w:p w14:paraId="591D9BDB" w14:textId="77777777" w:rsidR="006609F2" w:rsidRPr="00267401" w:rsidRDefault="006609F2">
          <w:pPr>
            <w:pStyle w:val="TOCHeading"/>
            <w:rPr>
              <w:rFonts w:ascii="Arial" w:hAnsi="Arial" w:cs="Arial"/>
              <w:b/>
              <w:color w:val="auto"/>
              <w:sz w:val="24"/>
              <w:szCs w:val="24"/>
            </w:rPr>
          </w:pPr>
          <w:r w:rsidRPr="00267401">
            <w:rPr>
              <w:rFonts w:ascii="Arial" w:hAnsi="Arial" w:cs="Arial"/>
              <w:b/>
              <w:color w:val="auto"/>
              <w:sz w:val="24"/>
              <w:szCs w:val="24"/>
            </w:rPr>
            <w:t>Contents</w:t>
          </w:r>
        </w:p>
        <w:p w14:paraId="5FF0FD9E" w14:textId="77777777" w:rsidR="006609F2" w:rsidRPr="00267401" w:rsidRDefault="006609F2" w:rsidP="006609F2">
          <w:pPr>
            <w:rPr>
              <w:rFonts w:ascii="Arial" w:hAnsi="Arial" w:cs="Arial"/>
              <w:sz w:val="24"/>
              <w:szCs w:val="24"/>
              <w:lang w:val="en-US"/>
            </w:rPr>
          </w:pPr>
        </w:p>
        <w:p w14:paraId="3B3E872B" w14:textId="77777777" w:rsidR="00267401" w:rsidRPr="00267401" w:rsidRDefault="006609F2">
          <w:pPr>
            <w:pStyle w:val="TOC1"/>
            <w:tabs>
              <w:tab w:val="left" w:pos="440"/>
              <w:tab w:val="right" w:leader="dot" w:pos="9016"/>
            </w:tabs>
            <w:rPr>
              <w:rFonts w:ascii="Arial" w:eastAsiaTheme="minorEastAsia" w:hAnsi="Arial" w:cs="Arial"/>
              <w:noProof/>
              <w:sz w:val="24"/>
              <w:szCs w:val="24"/>
              <w:lang w:eastAsia="en-GB"/>
            </w:rPr>
          </w:pPr>
          <w:r w:rsidRPr="00267401">
            <w:rPr>
              <w:rFonts w:ascii="Arial" w:hAnsi="Arial" w:cs="Arial"/>
              <w:b/>
              <w:bCs/>
              <w:noProof/>
              <w:sz w:val="24"/>
              <w:szCs w:val="24"/>
            </w:rPr>
            <w:fldChar w:fldCharType="begin"/>
          </w:r>
          <w:r w:rsidRPr="00267401">
            <w:rPr>
              <w:rFonts w:ascii="Arial" w:hAnsi="Arial" w:cs="Arial"/>
              <w:b/>
              <w:bCs/>
              <w:noProof/>
              <w:sz w:val="24"/>
              <w:szCs w:val="24"/>
            </w:rPr>
            <w:instrText xml:space="preserve"> TOC \o "1-3" \h \z \u </w:instrText>
          </w:r>
          <w:r w:rsidRPr="00267401">
            <w:rPr>
              <w:rFonts w:ascii="Arial" w:hAnsi="Arial" w:cs="Arial"/>
              <w:b/>
              <w:bCs/>
              <w:noProof/>
              <w:sz w:val="24"/>
              <w:szCs w:val="24"/>
            </w:rPr>
            <w:fldChar w:fldCharType="separate"/>
          </w:r>
          <w:hyperlink w:anchor="_Toc68010495" w:history="1">
            <w:r w:rsidR="00267401" w:rsidRPr="00267401">
              <w:rPr>
                <w:rStyle w:val="Hyperlink"/>
                <w:rFonts w:ascii="Arial" w:eastAsia="Calibri" w:hAnsi="Arial" w:cs="Arial"/>
                <w:noProof/>
                <w:sz w:val="24"/>
                <w:szCs w:val="24"/>
                <w:lang w:eastAsia="en-GB"/>
              </w:rPr>
              <w:t>1.</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Introduction</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_Toc68010495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3</w:t>
            </w:r>
            <w:r w:rsidR="00267401" w:rsidRPr="00267401">
              <w:rPr>
                <w:rFonts w:ascii="Arial" w:hAnsi="Arial" w:cs="Arial"/>
                <w:noProof/>
                <w:webHidden/>
                <w:sz w:val="24"/>
                <w:szCs w:val="24"/>
              </w:rPr>
              <w:fldChar w:fldCharType="end"/>
            </w:r>
          </w:hyperlink>
        </w:p>
        <w:p w14:paraId="68D43E42" w14:textId="77777777" w:rsidR="00267401" w:rsidRPr="00267401" w:rsidRDefault="00D1282B">
          <w:pPr>
            <w:pStyle w:val="TOC1"/>
            <w:tabs>
              <w:tab w:val="left" w:pos="440"/>
              <w:tab w:val="right" w:leader="dot" w:pos="9016"/>
            </w:tabs>
            <w:rPr>
              <w:rFonts w:ascii="Arial" w:eastAsiaTheme="minorEastAsia" w:hAnsi="Arial" w:cs="Arial"/>
              <w:noProof/>
              <w:sz w:val="24"/>
              <w:szCs w:val="24"/>
              <w:lang w:eastAsia="en-GB"/>
            </w:rPr>
          </w:pPr>
          <w:hyperlink w:anchor="_Toc68010496" w:history="1">
            <w:r w:rsidR="00267401" w:rsidRPr="00267401">
              <w:rPr>
                <w:rStyle w:val="Hyperlink"/>
                <w:rFonts w:ascii="Arial" w:eastAsia="Calibri" w:hAnsi="Arial" w:cs="Arial"/>
                <w:noProof/>
                <w:sz w:val="24"/>
                <w:szCs w:val="24"/>
                <w:lang w:eastAsia="en-GB"/>
              </w:rPr>
              <w:t>2.</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Background to service</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_Toc68010496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3</w:t>
            </w:r>
            <w:r w:rsidR="00267401" w:rsidRPr="00267401">
              <w:rPr>
                <w:rFonts w:ascii="Arial" w:hAnsi="Arial" w:cs="Arial"/>
                <w:noProof/>
                <w:webHidden/>
                <w:sz w:val="24"/>
                <w:szCs w:val="24"/>
              </w:rPr>
              <w:fldChar w:fldCharType="end"/>
            </w:r>
          </w:hyperlink>
        </w:p>
        <w:p w14:paraId="31654850" w14:textId="77777777" w:rsidR="00267401" w:rsidRPr="00267401" w:rsidRDefault="00D1282B">
          <w:pPr>
            <w:pStyle w:val="TOC1"/>
            <w:tabs>
              <w:tab w:val="left" w:pos="440"/>
              <w:tab w:val="right" w:leader="dot" w:pos="9016"/>
            </w:tabs>
            <w:rPr>
              <w:rFonts w:ascii="Arial" w:eastAsiaTheme="minorEastAsia" w:hAnsi="Arial" w:cs="Arial"/>
              <w:noProof/>
              <w:sz w:val="24"/>
              <w:szCs w:val="24"/>
              <w:lang w:eastAsia="en-GB"/>
            </w:rPr>
          </w:pPr>
          <w:hyperlink w:anchor="_Toc68010497" w:history="1">
            <w:r w:rsidR="00267401" w:rsidRPr="00267401">
              <w:rPr>
                <w:rStyle w:val="Hyperlink"/>
                <w:rFonts w:ascii="Arial" w:eastAsia="Calibri" w:hAnsi="Arial" w:cs="Arial"/>
                <w:noProof/>
                <w:sz w:val="24"/>
                <w:szCs w:val="24"/>
                <w:lang w:eastAsia="en-GB"/>
              </w:rPr>
              <w:t>3.</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Service aims</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_Toc68010497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3</w:t>
            </w:r>
            <w:r w:rsidR="00267401" w:rsidRPr="00267401">
              <w:rPr>
                <w:rFonts w:ascii="Arial" w:hAnsi="Arial" w:cs="Arial"/>
                <w:noProof/>
                <w:webHidden/>
                <w:sz w:val="24"/>
                <w:szCs w:val="24"/>
              </w:rPr>
              <w:fldChar w:fldCharType="end"/>
            </w:r>
          </w:hyperlink>
        </w:p>
        <w:p w14:paraId="1593F2D7" w14:textId="77777777" w:rsidR="00267401" w:rsidRPr="00267401" w:rsidRDefault="00D1282B">
          <w:pPr>
            <w:pStyle w:val="TOC1"/>
            <w:tabs>
              <w:tab w:val="left" w:pos="440"/>
              <w:tab w:val="right" w:leader="dot" w:pos="9016"/>
            </w:tabs>
            <w:rPr>
              <w:rFonts w:ascii="Arial" w:eastAsiaTheme="minorEastAsia" w:hAnsi="Arial" w:cs="Arial"/>
              <w:noProof/>
              <w:sz w:val="24"/>
              <w:szCs w:val="24"/>
              <w:lang w:eastAsia="en-GB"/>
            </w:rPr>
          </w:pPr>
          <w:hyperlink w:anchor="_Toc68010498" w:history="1">
            <w:r w:rsidR="00267401" w:rsidRPr="00267401">
              <w:rPr>
                <w:rStyle w:val="Hyperlink"/>
                <w:rFonts w:ascii="Arial" w:eastAsia="Calibri" w:hAnsi="Arial" w:cs="Arial"/>
                <w:noProof/>
                <w:sz w:val="24"/>
                <w:szCs w:val="24"/>
                <w:lang w:eastAsia="en-GB"/>
              </w:rPr>
              <w:t>4.</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Service outline and standard</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_Toc68010498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3</w:t>
            </w:r>
            <w:r w:rsidR="00267401" w:rsidRPr="00267401">
              <w:rPr>
                <w:rFonts w:ascii="Arial" w:hAnsi="Arial" w:cs="Arial"/>
                <w:noProof/>
                <w:webHidden/>
                <w:sz w:val="24"/>
                <w:szCs w:val="24"/>
              </w:rPr>
              <w:fldChar w:fldCharType="end"/>
            </w:r>
          </w:hyperlink>
        </w:p>
        <w:p w14:paraId="67D7EA69" w14:textId="77777777" w:rsidR="00267401" w:rsidRPr="00267401" w:rsidRDefault="00D1282B">
          <w:pPr>
            <w:pStyle w:val="TOC1"/>
            <w:tabs>
              <w:tab w:val="left" w:pos="440"/>
              <w:tab w:val="right" w:leader="dot" w:pos="9016"/>
            </w:tabs>
            <w:rPr>
              <w:rFonts w:ascii="Arial" w:eastAsiaTheme="minorEastAsia" w:hAnsi="Arial" w:cs="Arial"/>
              <w:noProof/>
              <w:sz w:val="24"/>
              <w:szCs w:val="24"/>
              <w:lang w:eastAsia="en-GB"/>
            </w:rPr>
          </w:pPr>
          <w:hyperlink w:anchor="_Toc68010499" w:history="1">
            <w:r w:rsidR="00267401" w:rsidRPr="00267401">
              <w:rPr>
                <w:rStyle w:val="Hyperlink"/>
                <w:rFonts w:ascii="Arial" w:eastAsia="Calibri" w:hAnsi="Arial" w:cs="Arial"/>
                <w:noProof/>
                <w:sz w:val="24"/>
                <w:szCs w:val="24"/>
                <w:lang w:eastAsia="en-GB"/>
              </w:rPr>
              <w:t>5.</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Training requirement</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_Toc68010499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5</w:t>
            </w:r>
            <w:r w:rsidR="00267401" w:rsidRPr="00267401">
              <w:rPr>
                <w:rFonts w:ascii="Arial" w:hAnsi="Arial" w:cs="Arial"/>
                <w:noProof/>
                <w:webHidden/>
                <w:sz w:val="24"/>
                <w:szCs w:val="24"/>
              </w:rPr>
              <w:fldChar w:fldCharType="end"/>
            </w:r>
          </w:hyperlink>
        </w:p>
        <w:p w14:paraId="6148A2D9" w14:textId="77777777" w:rsidR="00267401" w:rsidRPr="00267401" w:rsidRDefault="00D1282B">
          <w:pPr>
            <w:pStyle w:val="TOC1"/>
            <w:tabs>
              <w:tab w:val="left" w:pos="440"/>
              <w:tab w:val="right" w:leader="dot" w:pos="9016"/>
            </w:tabs>
            <w:rPr>
              <w:rFonts w:ascii="Arial" w:eastAsiaTheme="minorEastAsia" w:hAnsi="Arial" w:cs="Arial"/>
              <w:noProof/>
              <w:sz w:val="24"/>
              <w:szCs w:val="24"/>
              <w:lang w:eastAsia="en-GB"/>
            </w:rPr>
          </w:pPr>
          <w:hyperlink w:anchor="_Toc68010500" w:history="1">
            <w:r w:rsidR="00267401" w:rsidRPr="00267401">
              <w:rPr>
                <w:rStyle w:val="Hyperlink"/>
                <w:rFonts w:ascii="Arial" w:eastAsia="Calibri" w:hAnsi="Arial" w:cs="Arial"/>
                <w:noProof/>
                <w:sz w:val="24"/>
                <w:szCs w:val="24"/>
                <w:lang w:eastAsia="en-GB"/>
              </w:rPr>
              <w:t>6.</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Monitoring &amp; evaluation</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_Toc68010500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6</w:t>
            </w:r>
            <w:r w:rsidR="00267401" w:rsidRPr="00267401">
              <w:rPr>
                <w:rFonts w:ascii="Arial" w:hAnsi="Arial" w:cs="Arial"/>
                <w:noProof/>
                <w:webHidden/>
                <w:sz w:val="24"/>
                <w:szCs w:val="24"/>
              </w:rPr>
              <w:fldChar w:fldCharType="end"/>
            </w:r>
          </w:hyperlink>
        </w:p>
        <w:p w14:paraId="3A9C3D78" w14:textId="77777777" w:rsidR="00267401" w:rsidRPr="00267401" w:rsidRDefault="00D1282B">
          <w:pPr>
            <w:pStyle w:val="TOC1"/>
            <w:tabs>
              <w:tab w:val="left" w:pos="440"/>
              <w:tab w:val="right" w:leader="dot" w:pos="9016"/>
            </w:tabs>
            <w:rPr>
              <w:rFonts w:ascii="Arial" w:eastAsiaTheme="minorEastAsia" w:hAnsi="Arial" w:cs="Arial"/>
              <w:noProof/>
              <w:sz w:val="24"/>
              <w:szCs w:val="24"/>
              <w:lang w:eastAsia="en-GB"/>
            </w:rPr>
          </w:pPr>
          <w:hyperlink w:anchor="_Toc68010501" w:history="1">
            <w:r w:rsidR="00267401" w:rsidRPr="00267401">
              <w:rPr>
                <w:rStyle w:val="Hyperlink"/>
                <w:rFonts w:ascii="Arial" w:eastAsia="Calibri" w:hAnsi="Arial" w:cs="Arial"/>
                <w:noProof/>
                <w:sz w:val="24"/>
                <w:szCs w:val="24"/>
                <w:lang w:eastAsia="en-GB"/>
              </w:rPr>
              <w:t>7.</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Claims and payment</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_Toc68010501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6</w:t>
            </w:r>
            <w:r w:rsidR="00267401" w:rsidRPr="00267401">
              <w:rPr>
                <w:rFonts w:ascii="Arial" w:hAnsi="Arial" w:cs="Arial"/>
                <w:noProof/>
                <w:webHidden/>
                <w:sz w:val="24"/>
                <w:szCs w:val="24"/>
              </w:rPr>
              <w:fldChar w:fldCharType="end"/>
            </w:r>
          </w:hyperlink>
        </w:p>
        <w:p w14:paraId="16EEE7E2" w14:textId="77777777" w:rsidR="00267401" w:rsidRPr="00267401" w:rsidRDefault="00D1282B">
          <w:pPr>
            <w:pStyle w:val="TOC1"/>
            <w:tabs>
              <w:tab w:val="left" w:pos="440"/>
              <w:tab w:val="right" w:leader="dot" w:pos="9016"/>
            </w:tabs>
            <w:rPr>
              <w:rFonts w:ascii="Arial" w:eastAsiaTheme="minorEastAsia" w:hAnsi="Arial" w:cs="Arial"/>
              <w:noProof/>
              <w:sz w:val="24"/>
              <w:szCs w:val="24"/>
              <w:lang w:eastAsia="en-GB"/>
            </w:rPr>
          </w:pPr>
          <w:hyperlink w:anchor="_Toc68010502" w:history="1">
            <w:r w:rsidR="00267401" w:rsidRPr="00267401">
              <w:rPr>
                <w:rStyle w:val="Hyperlink"/>
                <w:rFonts w:ascii="Arial" w:eastAsia="Calibri" w:hAnsi="Arial" w:cs="Arial"/>
                <w:noProof/>
                <w:sz w:val="24"/>
                <w:szCs w:val="24"/>
                <w:lang w:eastAsia="en-GB"/>
              </w:rPr>
              <w:t>8.</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References</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_Toc68010502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6</w:t>
            </w:r>
            <w:r w:rsidR="00267401" w:rsidRPr="00267401">
              <w:rPr>
                <w:rFonts w:ascii="Arial" w:hAnsi="Arial" w:cs="Arial"/>
                <w:noProof/>
                <w:webHidden/>
                <w:sz w:val="24"/>
                <w:szCs w:val="24"/>
              </w:rPr>
              <w:fldChar w:fldCharType="end"/>
            </w:r>
          </w:hyperlink>
        </w:p>
        <w:p w14:paraId="664280EC" w14:textId="77777777" w:rsidR="00267401" w:rsidRPr="00267401" w:rsidRDefault="00D1282B">
          <w:pPr>
            <w:pStyle w:val="TOC1"/>
            <w:tabs>
              <w:tab w:val="right" w:leader="dot" w:pos="9016"/>
            </w:tabs>
            <w:rPr>
              <w:rFonts w:ascii="Arial" w:eastAsiaTheme="minorEastAsia" w:hAnsi="Arial" w:cs="Arial"/>
              <w:noProof/>
              <w:sz w:val="24"/>
              <w:szCs w:val="24"/>
              <w:lang w:eastAsia="en-GB"/>
            </w:rPr>
          </w:pPr>
          <w:hyperlink w:anchor="_Toc68010503" w:history="1">
            <w:r w:rsidR="00267401" w:rsidRPr="00267401">
              <w:rPr>
                <w:rStyle w:val="Hyperlink"/>
                <w:rFonts w:ascii="Arial" w:hAnsi="Arial" w:cs="Arial"/>
                <w:noProof/>
                <w:sz w:val="24"/>
                <w:szCs w:val="24"/>
              </w:rPr>
              <w:t>Appendix 1</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_Toc68010503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7</w:t>
            </w:r>
            <w:r w:rsidR="00267401" w:rsidRPr="00267401">
              <w:rPr>
                <w:rFonts w:ascii="Arial" w:hAnsi="Arial" w:cs="Arial"/>
                <w:noProof/>
                <w:webHidden/>
                <w:sz w:val="24"/>
                <w:szCs w:val="24"/>
              </w:rPr>
              <w:fldChar w:fldCharType="end"/>
            </w:r>
          </w:hyperlink>
        </w:p>
        <w:p w14:paraId="2058C3F0" w14:textId="77777777" w:rsidR="00267401" w:rsidRPr="00267401" w:rsidRDefault="00D1282B">
          <w:pPr>
            <w:pStyle w:val="TOC1"/>
            <w:tabs>
              <w:tab w:val="right" w:leader="dot" w:pos="9016"/>
            </w:tabs>
            <w:rPr>
              <w:rFonts w:ascii="Arial" w:eastAsiaTheme="minorEastAsia" w:hAnsi="Arial" w:cs="Arial"/>
              <w:noProof/>
              <w:sz w:val="24"/>
              <w:szCs w:val="24"/>
              <w:lang w:eastAsia="en-GB"/>
            </w:rPr>
          </w:pPr>
          <w:hyperlink w:anchor="_Toc68010504" w:history="1">
            <w:r w:rsidR="00267401" w:rsidRPr="00267401">
              <w:rPr>
                <w:rStyle w:val="Hyperlink"/>
                <w:rFonts w:ascii="Arial" w:hAnsi="Arial" w:cs="Arial"/>
                <w:noProof/>
                <w:sz w:val="24"/>
                <w:szCs w:val="24"/>
              </w:rPr>
              <w:t>Appendix 2</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_Toc68010504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8</w:t>
            </w:r>
            <w:r w:rsidR="00267401" w:rsidRPr="00267401">
              <w:rPr>
                <w:rFonts w:ascii="Arial" w:hAnsi="Arial" w:cs="Arial"/>
                <w:noProof/>
                <w:webHidden/>
                <w:sz w:val="24"/>
                <w:szCs w:val="24"/>
              </w:rPr>
              <w:fldChar w:fldCharType="end"/>
            </w:r>
          </w:hyperlink>
        </w:p>
        <w:p w14:paraId="08619EBD" w14:textId="77777777" w:rsidR="006609F2" w:rsidRDefault="006609F2">
          <w:r w:rsidRPr="00267401">
            <w:rPr>
              <w:rFonts w:ascii="Arial" w:hAnsi="Arial" w:cs="Arial"/>
              <w:b/>
              <w:bCs/>
              <w:noProof/>
              <w:sz w:val="24"/>
              <w:szCs w:val="24"/>
            </w:rPr>
            <w:fldChar w:fldCharType="end"/>
          </w:r>
        </w:p>
      </w:sdtContent>
    </w:sdt>
    <w:p w14:paraId="24137641" w14:textId="77777777" w:rsidR="008077C5" w:rsidRDefault="008077C5">
      <w:pPr>
        <w:rPr>
          <w:rFonts w:eastAsia="Calibri" w:cstheme="minorHAnsi"/>
          <w:color w:val="000000"/>
          <w:lang w:eastAsia="en-GB"/>
        </w:rPr>
      </w:pPr>
      <w:r>
        <w:rPr>
          <w:rFonts w:eastAsia="Calibri" w:cstheme="minorHAnsi"/>
          <w:color w:val="000000"/>
          <w:lang w:eastAsia="en-GB"/>
        </w:rPr>
        <w:br w:type="page"/>
      </w:r>
    </w:p>
    <w:p w14:paraId="19AC5AEE" w14:textId="77777777" w:rsidR="006D34E5" w:rsidRPr="008077C5" w:rsidRDefault="006D34E5" w:rsidP="008077C5">
      <w:pPr>
        <w:pStyle w:val="Heading1"/>
        <w:rPr>
          <w:rFonts w:eastAsia="Calibri"/>
          <w:lang w:eastAsia="en-GB"/>
        </w:rPr>
      </w:pPr>
      <w:bookmarkStart w:id="0" w:name="_Toc68010495"/>
      <w:r w:rsidRPr="008077C5">
        <w:rPr>
          <w:rFonts w:eastAsia="Calibri"/>
          <w:lang w:eastAsia="en-GB"/>
        </w:rPr>
        <w:lastRenderedPageBreak/>
        <w:t>Introduction</w:t>
      </w:r>
      <w:bookmarkEnd w:id="0"/>
      <w:r w:rsidRPr="008077C5">
        <w:rPr>
          <w:rFonts w:eastAsia="Calibri"/>
          <w:lang w:eastAsia="en-GB"/>
        </w:rPr>
        <w:t xml:space="preserve"> </w:t>
      </w:r>
    </w:p>
    <w:p w14:paraId="04292299"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This Service Level Agreement (SLA) acts as a contract between NHS Grampian and the contractor and commits the contractor to provide the services as defined by a Prescribed Medicines and Sharps Waste Disposal Service to patients in Grampian for the period to include </w:t>
      </w:r>
      <w:r w:rsidR="00232757">
        <w:rPr>
          <w:rFonts w:ascii="Arial" w:eastAsia="Calibri" w:hAnsi="Arial" w:cs="Arial"/>
          <w:color w:val="000000"/>
          <w:sz w:val="24"/>
          <w:szCs w:val="24"/>
          <w:lang w:eastAsia="en-GB"/>
        </w:rPr>
        <w:t>2023/24</w:t>
      </w:r>
      <w:r w:rsidRPr="00AB432D">
        <w:rPr>
          <w:rFonts w:ascii="Arial" w:eastAsia="Calibri" w:hAnsi="Arial" w:cs="Arial"/>
          <w:color w:val="000000"/>
          <w:sz w:val="24"/>
          <w:szCs w:val="24"/>
          <w:lang w:eastAsia="en-GB"/>
        </w:rPr>
        <w:t xml:space="preserve"> financial year.   </w:t>
      </w:r>
    </w:p>
    <w:p w14:paraId="3920FBA8" w14:textId="77777777" w:rsidR="006D34E5" w:rsidRPr="00AB432D" w:rsidRDefault="00AB432D" w:rsidP="006D34E5">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Pharmacy c</w:t>
      </w:r>
      <w:r w:rsidR="006D34E5" w:rsidRPr="00AB432D">
        <w:rPr>
          <w:rFonts w:ascii="Arial" w:eastAsia="Calibri" w:hAnsi="Arial" w:cs="Arial"/>
          <w:color w:val="000000"/>
          <w:sz w:val="24"/>
          <w:szCs w:val="24"/>
          <w:lang w:eastAsia="en-GB"/>
        </w:rPr>
        <w:t xml:space="preserve">ontractors must be registered for a paragraph 39 exemption to the Waste Management Licensing (Scotland) Regulations 2011 (as amended) – this process is free of charge and involves a simple online registration process.  </w:t>
      </w:r>
    </w:p>
    <w:p w14:paraId="732E9FEA" w14:textId="77777777" w:rsidR="00D1282B" w:rsidRDefault="00AB432D" w:rsidP="006D34E5">
      <w:pPr>
        <w:spacing w:after="203" w:line="271" w:lineRule="auto"/>
        <w:ind w:left="10" w:hanging="10"/>
        <w:rPr>
          <w:rFonts w:ascii="Arial" w:eastAsia="Calibri" w:hAnsi="Arial" w:cs="Arial"/>
          <w:color w:val="0000FF"/>
          <w:sz w:val="24"/>
          <w:szCs w:val="24"/>
          <w:u w:val="single" w:color="0000FF"/>
          <w:lang w:eastAsia="en-GB"/>
        </w:rPr>
      </w:pPr>
      <w:r>
        <w:rPr>
          <w:rFonts w:ascii="Arial" w:eastAsia="Calibri" w:hAnsi="Arial" w:cs="Arial"/>
          <w:color w:val="000000"/>
          <w:sz w:val="24"/>
          <w:szCs w:val="24"/>
          <w:lang w:eastAsia="en-GB"/>
        </w:rPr>
        <w:t>Pharmacy c</w:t>
      </w:r>
      <w:r w:rsidR="006D34E5" w:rsidRPr="00AB432D">
        <w:rPr>
          <w:rFonts w:ascii="Arial" w:eastAsia="Calibri" w:hAnsi="Arial" w:cs="Arial"/>
          <w:color w:val="000000"/>
          <w:sz w:val="24"/>
          <w:szCs w:val="24"/>
          <w:lang w:eastAsia="en-GB"/>
        </w:rPr>
        <w:t xml:space="preserve">ontractors have a Duty of Care for waste as laid out by the Scottish Environment Protection Agency.  </w:t>
      </w:r>
      <w:hyperlink r:id="rId8">
        <w:r w:rsidR="006D34E5" w:rsidRPr="00AB432D">
          <w:rPr>
            <w:rFonts w:ascii="Arial" w:eastAsia="Calibri" w:hAnsi="Arial" w:cs="Arial"/>
            <w:color w:val="0000FF"/>
            <w:sz w:val="24"/>
            <w:szCs w:val="24"/>
            <w:u w:val="single" w:color="0000FF"/>
            <w:lang w:eastAsia="en-GB"/>
          </w:rPr>
          <w:t>https://www.sepa.org.uk/regulations/waste/activities</w:t>
        </w:r>
      </w:hyperlink>
      <w:hyperlink r:id="rId9">
        <w:r w:rsidR="006D34E5" w:rsidRPr="00AB432D">
          <w:rPr>
            <w:rFonts w:ascii="Arial" w:eastAsia="Calibri" w:hAnsi="Arial" w:cs="Arial"/>
            <w:color w:val="0000FF"/>
            <w:sz w:val="24"/>
            <w:szCs w:val="24"/>
            <w:u w:val="single" w:color="0000FF"/>
            <w:lang w:eastAsia="en-GB"/>
          </w:rPr>
          <w:t>-</w:t>
        </w:r>
      </w:hyperlink>
      <w:hyperlink r:id="rId10">
        <w:r w:rsidR="006D34E5" w:rsidRPr="00AB432D">
          <w:rPr>
            <w:rFonts w:ascii="Arial" w:eastAsia="Calibri" w:hAnsi="Arial" w:cs="Arial"/>
            <w:color w:val="0000FF"/>
            <w:sz w:val="24"/>
            <w:szCs w:val="24"/>
            <w:u w:val="single" w:color="0000FF"/>
            <w:lang w:eastAsia="en-GB"/>
          </w:rPr>
          <w:t>exempt</w:t>
        </w:r>
      </w:hyperlink>
      <w:hyperlink r:id="rId11">
        <w:r w:rsidR="006D34E5" w:rsidRPr="00AB432D">
          <w:rPr>
            <w:rFonts w:ascii="Arial" w:eastAsia="Calibri" w:hAnsi="Arial" w:cs="Arial"/>
            <w:color w:val="0000FF"/>
            <w:sz w:val="24"/>
            <w:szCs w:val="24"/>
            <w:u w:val="single" w:color="0000FF"/>
            <w:lang w:eastAsia="en-GB"/>
          </w:rPr>
          <w:t>-</w:t>
        </w:r>
      </w:hyperlink>
      <w:hyperlink r:id="rId12">
        <w:r w:rsidR="006D34E5" w:rsidRPr="00AB432D">
          <w:rPr>
            <w:rFonts w:ascii="Arial" w:eastAsia="Calibri" w:hAnsi="Arial" w:cs="Arial"/>
            <w:color w:val="0000FF"/>
            <w:sz w:val="24"/>
            <w:szCs w:val="24"/>
            <w:u w:val="single" w:color="0000FF"/>
            <w:lang w:eastAsia="en-GB"/>
          </w:rPr>
          <w:t>from</w:t>
        </w:r>
      </w:hyperlink>
      <w:hyperlink r:id="rId13">
        <w:r w:rsidR="006D34E5" w:rsidRPr="00AB432D">
          <w:rPr>
            <w:rFonts w:ascii="Arial" w:eastAsia="Calibri" w:hAnsi="Arial" w:cs="Arial"/>
            <w:color w:val="0000FF"/>
            <w:sz w:val="24"/>
            <w:szCs w:val="24"/>
            <w:u w:val="single" w:color="0000FF"/>
            <w:lang w:eastAsia="en-GB"/>
          </w:rPr>
          <w:t>-</w:t>
        </w:r>
      </w:hyperlink>
      <w:hyperlink r:id="rId14">
        <w:r w:rsidR="006D34E5" w:rsidRPr="00AB432D">
          <w:rPr>
            <w:rFonts w:ascii="Arial" w:eastAsia="Calibri" w:hAnsi="Arial" w:cs="Arial"/>
            <w:color w:val="0000FF"/>
            <w:sz w:val="24"/>
            <w:szCs w:val="24"/>
            <w:u w:val="single" w:color="0000FF"/>
            <w:lang w:eastAsia="en-GB"/>
          </w:rPr>
          <w:t>waste</w:t>
        </w:r>
      </w:hyperlink>
      <w:hyperlink r:id="rId15">
        <w:r w:rsidR="006D34E5" w:rsidRPr="00AB432D">
          <w:rPr>
            <w:rFonts w:ascii="Arial" w:eastAsia="Calibri" w:hAnsi="Arial" w:cs="Arial"/>
            <w:color w:val="0000FF"/>
            <w:sz w:val="24"/>
            <w:szCs w:val="24"/>
            <w:u w:val="single" w:color="0000FF"/>
            <w:lang w:eastAsia="en-GB"/>
          </w:rPr>
          <w:t>-</w:t>
        </w:r>
      </w:hyperlink>
      <w:hyperlink r:id="rId16">
        <w:r w:rsidR="006D34E5" w:rsidRPr="00AB432D">
          <w:rPr>
            <w:rFonts w:ascii="Arial" w:eastAsia="Calibri" w:hAnsi="Arial" w:cs="Arial"/>
            <w:color w:val="0000FF"/>
            <w:sz w:val="24"/>
            <w:szCs w:val="24"/>
            <w:u w:val="single" w:color="0000FF"/>
            <w:lang w:eastAsia="en-GB"/>
          </w:rPr>
          <w:t>management</w:t>
        </w:r>
      </w:hyperlink>
      <w:hyperlink r:id="rId17">
        <w:r w:rsidR="006D34E5" w:rsidRPr="00AB432D">
          <w:rPr>
            <w:rFonts w:ascii="Arial" w:eastAsia="Calibri" w:hAnsi="Arial" w:cs="Arial"/>
            <w:color w:val="0000FF"/>
            <w:sz w:val="24"/>
            <w:szCs w:val="24"/>
            <w:u w:val="single" w:color="0000FF"/>
            <w:lang w:eastAsia="en-GB"/>
          </w:rPr>
          <w:t>-</w:t>
        </w:r>
      </w:hyperlink>
      <w:hyperlink r:id="rId18">
        <w:r w:rsidR="006D34E5" w:rsidRPr="00AB432D">
          <w:rPr>
            <w:rFonts w:ascii="Arial" w:eastAsia="Calibri" w:hAnsi="Arial" w:cs="Arial"/>
            <w:color w:val="0000FF"/>
            <w:sz w:val="24"/>
            <w:szCs w:val="24"/>
            <w:u w:val="single" w:color="0000FF"/>
            <w:lang w:eastAsia="en-GB"/>
          </w:rPr>
          <w:t>licensing/</w:t>
        </w:r>
      </w:hyperlink>
    </w:p>
    <w:p w14:paraId="15EFFCC1" w14:textId="77777777" w:rsidR="00D1282B" w:rsidRPr="00AB4752" w:rsidRDefault="00D1282B" w:rsidP="00D1282B">
      <w:pPr>
        <w:rPr>
          <w:rFonts w:ascii="Arial" w:hAnsi="Arial" w:cs="Arial"/>
          <w:sz w:val="24"/>
          <w:lang w:eastAsia="en-GB"/>
        </w:rPr>
      </w:pPr>
      <w:r w:rsidRPr="00AB4752">
        <w:rPr>
          <w:rFonts w:ascii="Arial" w:hAnsi="Arial" w:cs="Arial"/>
          <w:sz w:val="24"/>
          <w:lang w:eastAsia="en-GB"/>
        </w:rPr>
        <w:t>This agreement is for the period 1</w:t>
      </w:r>
      <w:r w:rsidRPr="00AB4752">
        <w:rPr>
          <w:rFonts w:ascii="Arial" w:hAnsi="Arial" w:cs="Arial"/>
          <w:sz w:val="24"/>
          <w:vertAlign w:val="superscript"/>
          <w:lang w:eastAsia="en-GB"/>
        </w:rPr>
        <w:t>st</w:t>
      </w:r>
      <w:r w:rsidRPr="00AB4752">
        <w:rPr>
          <w:rFonts w:ascii="Arial" w:hAnsi="Arial" w:cs="Arial"/>
          <w:sz w:val="24"/>
          <w:lang w:eastAsia="en-GB"/>
        </w:rPr>
        <w:t xml:space="preserve"> April 2025 – 31</w:t>
      </w:r>
      <w:r w:rsidRPr="00AB4752">
        <w:rPr>
          <w:rFonts w:ascii="Arial" w:hAnsi="Arial" w:cs="Arial"/>
          <w:sz w:val="24"/>
          <w:vertAlign w:val="superscript"/>
          <w:lang w:eastAsia="en-GB"/>
        </w:rPr>
        <w:t>st</w:t>
      </w:r>
      <w:r w:rsidRPr="00AB4752">
        <w:rPr>
          <w:rFonts w:ascii="Arial" w:hAnsi="Arial" w:cs="Arial"/>
          <w:sz w:val="24"/>
          <w:lang w:eastAsia="en-GB"/>
        </w:rPr>
        <w:t xml:space="preserve"> March 2026, however, remains valid and must be adhered to as per the agreement whilst under review.</w:t>
      </w:r>
    </w:p>
    <w:p w14:paraId="17780DC7" w14:textId="77777777" w:rsidR="006D34E5" w:rsidRPr="00AB432D" w:rsidRDefault="006D34E5" w:rsidP="008077C5">
      <w:pPr>
        <w:pStyle w:val="Heading1"/>
        <w:rPr>
          <w:rFonts w:eastAsia="Calibri"/>
          <w:lang w:eastAsia="en-GB"/>
        </w:rPr>
      </w:pPr>
      <w:bookmarkStart w:id="1" w:name="_Toc68010496"/>
      <w:bookmarkStart w:id="2" w:name="_GoBack"/>
      <w:bookmarkEnd w:id="2"/>
      <w:r w:rsidRPr="00AB432D">
        <w:rPr>
          <w:rFonts w:eastAsia="Calibri"/>
          <w:lang w:eastAsia="en-GB"/>
        </w:rPr>
        <w:t>Background to service</w:t>
      </w:r>
      <w:bookmarkEnd w:id="1"/>
      <w:r w:rsidRPr="00AB432D">
        <w:rPr>
          <w:rFonts w:eastAsia="Calibri"/>
          <w:lang w:eastAsia="en-GB"/>
        </w:rPr>
        <w:t xml:space="preserve"> </w:t>
      </w:r>
    </w:p>
    <w:p w14:paraId="73B55C83"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Pharmacy contractors are required to accept medicine and sharps waste in appropriate bins from patients being treated at or in a homely setting for uplift and disposal by NHS Grampian.  </w:t>
      </w:r>
    </w:p>
    <w:p w14:paraId="0FAB09E6" w14:textId="77777777" w:rsidR="006D34E5" w:rsidRPr="00AB432D" w:rsidRDefault="006D34E5" w:rsidP="008077C5">
      <w:pPr>
        <w:pStyle w:val="Heading1"/>
        <w:rPr>
          <w:rFonts w:eastAsia="Calibri"/>
          <w:lang w:eastAsia="en-GB"/>
        </w:rPr>
      </w:pPr>
      <w:bookmarkStart w:id="3" w:name="_Toc68010497"/>
      <w:r w:rsidRPr="00AB432D">
        <w:rPr>
          <w:rFonts w:eastAsia="Calibri"/>
          <w:lang w:eastAsia="en-GB"/>
        </w:rPr>
        <w:t>Service aims</w:t>
      </w:r>
      <w:bookmarkEnd w:id="3"/>
      <w:r w:rsidRPr="00AB432D">
        <w:rPr>
          <w:rFonts w:eastAsia="Calibri"/>
          <w:lang w:eastAsia="en-GB"/>
        </w:rPr>
        <w:t xml:space="preserve"> </w:t>
      </w:r>
    </w:p>
    <w:p w14:paraId="2FA77D38"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provide patients with a robust route for safe disposal of prescribed medicines and sharps.  </w:t>
      </w:r>
    </w:p>
    <w:p w14:paraId="477B9DD1"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establish a safe and robust community pharmacy disposal service for patients in NHS Grampian. </w:t>
      </w:r>
    </w:p>
    <w:p w14:paraId="6C6237E9"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ensure pharmacy staff understand and implement safe handling and storage of waste in their premises. </w:t>
      </w:r>
    </w:p>
    <w:p w14:paraId="0F07CF72"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ensure that healthcare professionals and patients in NHS Grampian requiring such a service are aware of and know how to access it. </w:t>
      </w:r>
    </w:p>
    <w:p w14:paraId="39AE0E2C"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work within the health &amp; safety requirements and infection control guidance for handling segregating and storing used medicines and sharps bins.  </w:t>
      </w:r>
    </w:p>
    <w:p w14:paraId="65628BF1" w14:textId="77777777" w:rsidR="006D34E5" w:rsidRPr="00AB432D" w:rsidRDefault="006D34E5" w:rsidP="008077C5">
      <w:pPr>
        <w:pStyle w:val="Heading1"/>
        <w:rPr>
          <w:rFonts w:eastAsia="Calibri"/>
          <w:lang w:eastAsia="en-GB"/>
        </w:rPr>
      </w:pPr>
      <w:bookmarkStart w:id="4" w:name="_Toc68010498"/>
      <w:r w:rsidRPr="00AB432D">
        <w:rPr>
          <w:rFonts w:eastAsia="Calibri"/>
          <w:lang w:eastAsia="en-GB"/>
        </w:rPr>
        <w:t>Service outline and standard</w:t>
      </w:r>
      <w:bookmarkEnd w:id="4"/>
      <w:r w:rsidRPr="00AB432D">
        <w:rPr>
          <w:rFonts w:eastAsia="Calibri"/>
          <w:lang w:eastAsia="en-GB"/>
        </w:rPr>
        <w:t xml:space="preserve"> </w:t>
      </w:r>
    </w:p>
    <w:p w14:paraId="109F9437" w14:textId="77777777" w:rsidR="005332A7" w:rsidRPr="008077C5" w:rsidRDefault="005332A7"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Change to the way that healthcare waste is disposed of has been introduced across the whole of NHS Scotland, and the following is a summary of the changes that require to be implemented within community pharmacies;</w:t>
      </w:r>
    </w:p>
    <w:p w14:paraId="5505B887" w14:textId="77777777"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Non-hazardous medicinal wastes - these require to be disposed of in a 22 litre blue bodied bin with a blue lid (This will include surplus medicines, patient </w:t>
      </w:r>
      <w:r w:rsidRPr="00AB432D">
        <w:rPr>
          <w:rFonts w:ascii="Arial" w:eastAsia="Calibri" w:hAnsi="Arial" w:cs="Arial"/>
          <w:color w:val="000000"/>
          <w:sz w:val="24"/>
          <w:szCs w:val="24"/>
          <w:lang w:eastAsia="en-GB"/>
        </w:rPr>
        <w:lastRenderedPageBreak/>
        <w:t>returns, bottles, containers, tablet strips etc. that may be contaminated with medicinal wastes.);</w:t>
      </w:r>
    </w:p>
    <w:p w14:paraId="5784F5DF" w14:textId="77777777"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Non-hazardous medicinal sharps (needles, vials, broken glass etc.) – must be disposed of in a 5 Litre yellow bin with blue lid;</w:t>
      </w:r>
    </w:p>
    <w:p w14:paraId="22D95C42" w14:textId="77777777"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Hazardous medicinal waste (Cytotoxic or Cytostatic) – must be disposed of in a 22 Litre blue bodied bin with purple lid (This will include all medicines used in anti-viral, hormonal, antibacterial and immunosuppressant treatments.)</w:t>
      </w:r>
      <w:r w:rsidR="00907ED2">
        <w:rPr>
          <w:rFonts w:ascii="Arial" w:eastAsia="Calibri" w:hAnsi="Arial" w:cs="Arial"/>
          <w:color w:val="000000"/>
          <w:sz w:val="24"/>
          <w:szCs w:val="24"/>
          <w:lang w:eastAsia="en-GB"/>
        </w:rPr>
        <w:t xml:space="preserve"> See Appendix 2</w:t>
      </w:r>
      <w:r w:rsidRPr="00AB432D">
        <w:rPr>
          <w:rFonts w:ascii="Arial" w:eastAsia="Calibri" w:hAnsi="Arial" w:cs="Arial"/>
          <w:color w:val="000000"/>
          <w:sz w:val="24"/>
          <w:szCs w:val="24"/>
          <w:lang w:eastAsia="en-GB"/>
        </w:rPr>
        <w:t>;</w:t>
      </w:r>
    </w:p>
    <w:p w14:paraId="07B50734" w14:textId="77777777"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Hazardous medicinal sharps – must be disposed of in 2.5 Litre yellow bodied bin with purple lid;</w:t>
      </w:r>
    </w:p>
    <w:p w14:paraId="46E20459" w14:textId="77777777"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Needle exchange sharps bins from patients (diabetic, substance abuse etc.) - can be placed together in 60 Litre yellow bins;</w:t>
      </w:r>
    </w:p>
    <w:p w14:paraId="67CD957C" w14:textId="77777777"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Methadone cups and bottles (should never be rinsed out) - should be placed within a 60 Litre yellow bin.</w:t>
      </w:r>
    </w:p>
    <w:p w14:paraId="54EC9701" w14:textId="77777777" w:rsidR="005332A7" w:rsidRPr="00AB432D" w:rsidRDefault="005332A7" w:rsidP="005332A7">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Medicinal wastes should NOT be disposed of in 60 Litre yellow bins as they do not meet Transport Regulations. The 22 Litre bins are the largest bins that should be used for disposal of these.</w:t>
      </w:r>
    </w:p>
    <w:p w14:paraId="1369DCDB" w14:textId="77777777" w:rsidR="00041BE9" w:rsidRDefault="005332A7" w:rsidP="005332A7">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It is mandatory that the labels on all bins are completed fully by staff within the pharmacy premises prior to uplift. </w:t>
      </w:r>
    </w:p>
    <w:p w14:paraId="5F4A68B7" w14:textId="77777777" w:rsidR="005332A7" w:rsidRPr="00AB432D" w:rsidRDefault="005332A7" w:rsidP="005332A7">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All community pharmacies will be audited for compliance with segregation requirements at some point over the next 12 months. This is a requirement of the new healthcare waste contract that all boards in NHS Scotland must adhere to.</w:t>
      </w:r>
    </w:p>
    <w:p w14:paraId="44A0264C"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Contractors will be required to: </w:t>
      </w:r>
    </w:p>
    <w:p w14:paraId="4EEA0813" w14:textId="77777777"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Complete registration for a paragraph 39 exemption to the Waste Management Licensing (Scotland) Regulations 2011 (as amended) through SEPA.  Evidence of this may be asked for at any time.  </w:t>
      </w:r>
      <w:hyperlink r:id="rId19">
        <w:r w:rsidRPr="00AB432D">
          <w:rPr>
            <w:rFonts w:ascii="Arial" w:eastAsia="Calibri" w:hAnsi="Arial" w:cs="Arial"/>
            <w:color w:val="0000FF"/>
            <w:sz w:val="24"/>
            <w:szCs w:val="24"/>
            <w:u w:val="single" w:color="0000FF"/>
            <w:lang w:eastAsia="en-GB"/>
          </w:rPr>
          <w:t>https://www.sepa.org.uk/regulations/waste/activities</w:t>
        </w:r>
      </w:hyperlink>
      <w:hyperlink r:id="rId20">
        <w:r w:rsidRPr="00AB432D">
          <w:rPr>
            <w:rFonts w:ascii="Arial" w:eastAsia="Calibri" w:hAnsi="Arial" w:cs="Arial"/>
            <w:color w:val="0000FF"/>
            <w:sz w:val="24"/>
            <w:szCs w:val="24"/>
            <w:u w:val="single" w:color="0000FF"/>
            <w:lang w:eastAsia="en-GB"/>
          </w:rPr>
          <w:t>-</w:t>
        </w:r>
      </w:hyperlink>
      <w:hyperlink r:id="rId21">
        <w:r w:rsidRPr="00AB432D">
          <w:rPr>
            <w:rFonts w:ascii="Arial" w:eastAsia="Calibri" w:hAnsi="Arial" w:cs="Arial"/>
            <w:color w:val="0000FF"/>
            <w:sz w:val="24"/>
            <w:szCs w:val="24"/>
            <w:u w:val="single" w:color="0000FF"/>
            <w:lang w:eastAsia="en-GB"/>
          </w:rPr>
          <w:t>exempt</w:t>
        </w:r>
      </w:hyperlink>
      <w:hyperlink r:id="rId22">
        <w:r w:rsidRPr="00AB432D">
          <w:rPr>
            <w:rFonts w:ascii="Arial" w:eastAsia="Calibri" w:hAnsi="Arial" w:cs="Arial"/>
            <w:color w:val="0000FF"/>
            <w:sz w:val="24"/>
            <w:szCs w:val="24"/>
            <w:u w:val="single" w:color="0000FF"/>
            <w:lang w:eastAsia="en-GB"/>
          </w:rPr>
          <w:t>-</w:t>
        </w:r>
      </w:hyperlink>
      <w:hyperlink r:id="rId23">
        <w:r w:rsidRPr="00AB432D">
          <w:rPr>
            <w:rFonts w:ascii="Arial" w:eastAsia="Calibri" w:hAnsi="Arial" w:cs="Arial"/>
            <w:color w:val="0000FF"/>
            <w:sz w:val="24"/>
            <w:szCs w:val="24"/>
            <w:u w:val="single" w:color="0000FF"/>
            <w:lang w:eastAsia="en-GB"/>
          </w:rPr>
          <w:t>from</w:t>
        </w:r>
      </w:hyperlink>
      <w:hyperlink r:id="rId24">
        <w:r w:rsidRPr="00AB432D">
          <w:rPr>
            <w:rFonts w:ascii="Arial" w:eastAsia="Calibri" w:hAnsi="Arial" w:cs="Arial"/>
            <w:color w:val="0000FF"/>
            <w:sz w:val="24"/>
            <w:szCs w:val="24"/>
            <w:u w:val="single" w:color="0000FF"/>
            <w:lang w:eastAsia="en-GB"/>
          </w:rPr>
          <w:t>-</w:t>
        </w:r>
      </w:hyperlink>
      <w:hyperlink r:id="rId25">
        <w:r w:rsidRPr="00AB432D">
          <w:rPr>
            <w:rFonts w:ascii="Arial" w:eastAsia="Calibri" w:hAnsi="Arial" w:cs="Arial"/>
            <w:color w:val="0000FF"/>
            <w:sz w:val="24"/>
            <w:szCs w:val="24"/>
            <w:u w:val="single" w:color="0000FF"/>
            <w:lang w:eastAsia="en-GB"/>
          </w:rPr>
          <w:t>waste</w:t>
        </w:r>
      </w:hyperlink>
      <w:hyperlink r:id="rId26">
        <w:r w:rsidRPr="00AB432D">
          <w:rPr>
            <w:rFonts w:ascii="Arial" w:eastAsia="Calibri" w:hAnsi="Arial" w:cs="Arial"/>
            <w:color w:val="0000FF"/>
            <w:sz w:val="24"/>
            <w:szCs w:val="24"/>
            <w:u w:val="single" w:color="0000FF"/>
            <w:lang w:eastAsia="en-GB"/>
          </w:rPr>
          <w:t>-</w:t>
        </w:r>
      </w:hyperlink>
      <w:hyperlink r:id="rId27">
        <w:r w:rsidRPr="00AB432D">
          <w:rPr>
            <w:rFonts w:ascii="Arial" w:eastAsia="Calibri" w:hAnsi="Arial" w:cs="Arial"/>
            <w:color w:val="0000FF"/>
            <w:sz w:val="24"/>
            <w:szCs w:val="24"/>
            <w:u w:val="single" w:color="0000FF"/>
            <w:lang w:eastAsia="en-GB"/>
          </w:rPr>
          <w:t>management</w:t>
        </w:r>
      </w:hyperlink>
      <w:hyperlink r:id="rId28">
        <w:r w:rsidRPr="00AB432D">
          <w:rPr>
            <w:rFonts w:ascii="Arial" w:eastAsia="Calibri" w:hAnsi="Arial" w:cs="Arial"/>
            <w:color w:val="0000FF"/>
            <w:sz w:val="24"/>
            <w:szCs w:val="24"/>
            <w:u w:val="single" w:color="0000FF"/>
            <w:lang w:eastAsia="en-GB"/>
          </w:rPr>
          <w:t>-</w:t>
        </w:r>
      </w:hyperlink>
      <w:hyperlink r:id="rId29">
        <w:r w:rsidRPr="00AB432D">
          <w:rPr>
            <w:rFonts w:ascii="Arial" w:eastAsia="Calibri" w:hAnsi="Arial" w:cs="Arial"/>
            <w:color w:val="0000FF"/>
            <w:sz w:val="24"/>
            <w:szCs w:val="24"/>
            <w:u w:val="single" w:color="0000FF"/>
            <w:lang w:eastAsia="en-GB"/>
          </w:rPr>
          <w:t>licensing/</w:t>
        </w:r>
      </w:hyperlink>
      <w:hyperlink r:id="rId30"/>
    </w:p>
    <w:p w14:paraId="0344B246" w14:textId="77777777"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Ensure an adequate stock of appropriate sizes and colour of bins and lids by liaising with </w:t>
      </w:r>
      <w:r w:rsidR="00041BE9">
        <w:rPr>
          <w:rFonts w:ascii="Arial" w:eastAsia="Calibri" w:hAnsi="Arial" w:cs="Arial"/>
          <w:color w:val="000000"/>
          <w:sz w:val="24"/>
          <w:szCs w:val="24"/>
          <w:lang w:eastAsia="en-GB"/>
        </w:rPr>
        <w:t>the waste collection contractor and ensuring stocks are pre-ordered</w:t>
      </w:r>
      <w:r w:rsidRPr="00AB432D">
        <w:rPr>
          <w:rFonts w:ascii="Arial" w:eastAsia="Calibri" w:hAnsi="Arial" w:cs="Arial"/>
          <w:color w:val="000000"/>
          <w:sz w:val="24"/>
          <w:szCs w:val="24"/>
          <w:lang w:eastAsia="en-GB"/>
        </w:rPr>
        <w:t xml:space="preserve">. </w:t>
      </w:r>
    </w:p>
    <w:p w14:paraId="7D77D415" w14:textId="77777777"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Ensure all clinical waste from patients is accepted when presented and disposed of safely and appropriately. </w:t>
      </w:r>
    </w:p>
    <w:p w14:paraId="791033B9" w14:textId="77777777"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Ensure safe and appropriate storage and segregation of empty and full prescribed medicines and sharps bins. </w:t>
      </w:r>
    </w:p>
    <w:p w14:paraId="7D9D27FB" w14:textId="77777777"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Maintain knowledge relevant to providing the service to patients and undertake further training if required. </w:t>
      </w:r>
    </w:p>
    <w:p w14:paraId="1113B80E" w14:textId="77777777"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lastRenderedPageBreak/>
        <w:t xml:space="preserve">Ensure appropriate Standard Operating Procedures are in place to ensure all pharmacy staff understand their duty of care responsibilities and work within the health &amp; safety requirements and infection control guidance for handling, segregating and storing medicines, and sharps bins.  </w:t>
      </w:r>
    </w:p>
    <w:p w14:paraId="3C88ABE8" w14:textId="77777777"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Participate in any audit co-ordinated by NHS Grampian. </w:t>
      </w:r>
    </w:p>
    <w:p w14:paraId="6237AD4F" w14:textId="77777777" w:rsidR="006D34E5" w:rsidRPr="00AB432D" w:rsidRDefault="00AE4B92"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N</w:t>
      </w:r>
      <w:r w:rsidR="006D34E5" w:rsidRPr="00AB432D">
        <w:rPr>
          <w:rFonts w:ascii="Arial" w:eastAsia="Calibri" w:hAnsi="Arial" w:cs="Arial"/>
          <w:color w:val="000000"/>
          <w:sz w:val="24"/>
          <w:szCs w:val="24"/>
          <w:lang w:eastAsia="en-GB"/>
        </w:rPr>
        <w:t>otify NHS Grampian Community Pharmacy Contracts team (</w:t>
      </w:r>
      <w:hyperlink r:id="rId31" w:history="1">
        <w:r w:rsidR="005332A7" w:rsidRPr="00AB432D">
          <w:rPr>
            <w:rStyle w:val="Hyperlink"/>
            <w:rFonts w:ascii="Arial" w:eastAsia="Calibri" w:hAnsi="Arial" w:cs="Arial"/>
            <w:sz w:val="24"/>
            <w:szCs w:val="24"/>
            <w:lang w:eastAsia="en-GB"/>
          </w:rPr>
          <w:t>gram.pcctpharmacy@nhs.scot</w:t>
        </w:r>
      </w:hyperlink>
      <w:r w:rsidR="005332A7" w:rsidRPr="00AB432D">
        <w:rPr>
          <w:rFonts w:ascii="Arial" w:eastAsia="Calibri" w:hAnsi="Arial" w:cs="Arial"/>
          <w:color w:val="000000"/>
          <w:sz w:val="24"/>
          <w:szCs w:val="24"/>
          <w:lang w:eastAsia="en-GB"/>
        </w:rPr>
        <w:t>)</w:t>
      </w:r>
      <w:r w:rsidR="006D34E5" w:rsidRPr="00AB432D">
        <w:rPr>
          <w:rFonts w:ascii="Arial" w:eastAsia="Calibri" w:hAnsi="Arial" w:cs="Arial"/>
          <w:color w:val="000000"/>
          <w:sz w:val="24"/>
          <w:szCs w:val="24"/>
          <w:lang w:eastAsia="en-GB"/>
        </w:rPr>
        <w:t xml:space="preserve"> of any changes in contracted opening hours, regular pharmacist or any other relevant changes that may impact on the collection and delivery of waste materials. </w:t>
      </w:r>
    </w:p>
    <w:p w14:paraId="0D009B3A"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Additional Information </w:t>
      </w:r>
    </w:p>
    <w:p w14:paraId="6B4FA648"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In the unlikely event that a patient returns any black Injecting Equipment Provision (Needle Exchange) sharps containers, these should be accepted and disposed of in the same manner as other prescribed sharps even if the pharmacy does not participate in the Needle and Syringe exchange service. </w:t>
      </w:r>
    </w:p>
    <w:p w14:paraId="69AB0A6B"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Responsibilities of NHS Grampian </w:t>
      </w:r>
      <w:r w:rsidR="00041BE9" w:rsidRPr="008077C5">
        <w:rPr>
          <w:rFonts w:ascii="Arial" w:eastAsia="Calibri" w:hAnsi="Arial" w:cs="Arial"/>
          <w:color w:val="000000"/>
          <w:sz w:val="24"/>
          <w:szCs w:val="24"/>
          <w:lang w:eastAsia="en-GB"/>
        </w:rPr>
        <w:t>Waste Management</w:t>
      </w:r>
      <w:r w:rsidRPr="008077C5">
        <w:rPr>
          <w:rFonts w:ascii="Arial" w:eastAsia="Calibri" w:hAnsi="Arial" w:cs="Arial"/>
          <w:color w:val="000000"/>
          <w:sz w:val="24"/>
          <w:szCs w:val="24"/>
          <w:lang w:eastAsia="en-GB"/>
        </w:rPr>
        <w:t xml:space="preserve"> Services: </w:t>
      </w:r>
    </w:p>
    <w:p w14:paraId="61BBAB39" w14:textId="77777777" w:rsidR="006D34E5" w:rsidRPr="00AB432D" w:rsidRDefault="006D34E5" w:rsidP="006D34E5">
      <w:pPr>
        <w:numPr>
          <w:ilvl w:val="0"/>
          <w:numId w:val="2"/>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provide a schedule of routine uplifts for prescribed medicines and sharps waste. </w:t>
      </w:r>
    </w:p>
    <w:p w14:paraId="77A48950" w14:textId="77777777" w:rsidR="006D34E5" w:rsidRPr="00AB432D" w:rsidRDefault="006D34E5" w:rsidP="006D34E5">
      <w:pPr>
        <w:numPr>
          <w:ilvl w:val="0"/>
          <w:numId w:val="2"/>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uplift returned prescribed medicines and sharps presented in sealed and signed approved containers. </w:t>
      </w:r>
    </w:p>
    <w:p w14:paraId="7E34B992" w14:textId="77777777" w:rsidR="006D34E5" w:rsidRPr="00AB432D" w:rsidRDefault="006D34E5" w:rsidP="006D34E5">
      <w:pPr>
        <w:numPr>
          <w:ilvl w:val="0"/>
          <w:numId w:val="2"/>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supply the community pharmacy with sufficient replacement approved containers for pharmacy and patient use. </w:t>
      </w:r>
    </w:p>
    <w:p w14:paraId="47C00B74" w14:textId="77777777" w:rsidR="006D34E5" w:rsidRPr="00AB432D" w:rsidRDefault="006D34E5" w:rsidP="008077C5">
      <w:pPr>
        <w:pStyle w:val="Heading1"/>
        <w:rPr>
          <w:rFonts w:eastAsia="Calibri"/>
          <w:lang w:eastAsia="en-GB"/>
        </w:rPr>
      </w:pPr>
      <w:bookmarkStart w:id="5" w:name="_Toc68010499"/>
      <w:r w:rsidRPr="00AB432D">
        <w:rPr>
          <w:rFonts w:eastAsia="Calibri"/>
          <w:lang w:eastAsia="en-GB"/>
        </w:rPr>
        <w:t>Training requirement</w:t>
      </w:r>
      <w:bookmarkEnd w:id="5"/>
    </w:p>
    <w:p w14:paraId="2D842CE5"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All staff members involved in the delivery of pharmaceutical services should have undertaken </w:t>
      </w:r>
      <w:r w:rsidR="00041BE9" w:rsidRPr="008077C5">
        <w:rPr>
          <w:rFonts w:ascii="Arial" w:eastAsia="Calibri" w:hAnsi="Arial" w:cs="Arial"/>
          <w:color w:val="000000"/>
          <w:sz w:val="24"/>
          <w:szCs w:val="24"/>
          <w:lang w:eastAsia="en-GB"/>
        </w:rPr>
        <w:t>core SLA module training</w:t>
      </w:r>
      <w:r w:rsidRPr="008077C5">
        <w:rPr>
          <w:rFonts w:ascii="Arial" w:eastAsia="Calibri" w:hAnsi="Arial" w:cs="Arial"/>
          <w:color w:val="000000"/>
          <w:sz w:val="24"/>
          <w:szCs w:val="24"/>
          <w:lang w:eastAsia="en-GB"/>
        </w:rPr>
        <w:t xml:space="preserve">. </w:t>
      </w:r>
    </w:p>
    <w:p w14:paraId="42BB192B"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Staff involved in the delivery of this service should attend and participate in any waste management training provided by NHS Grampian.  </w:t>
      </w:r>
    </w:p>
    <w:p w14:paraId="1EC16781"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NHS Grampian will provide guidance in waste and sharps management for community pharmacists and their support staff to support them in undertaking their duty of care.  It is the responsibility of the contractor to ensure that staff involved in the delivery of the service have read and understood the guidance.  </w:t>
      </w:r>
    </w:p>
    <w:p w14:paraId="7CAC9461"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Contractors should ensure that all staff involved in the delivery of this service are aware of the procedure on managing a needle stick injury detailed in Appendix 1.  </w:t>
      </w:r>
    </w:p>
    <w:p w14:paraId="03C54940"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A named member of staff for each contractor will take overall responsibility for ensuring the service is provided to the required standard and for ensuring all staff in the pharmacy have knowledge of and are trained in the operation of the service. </w:t>
      </w:r>
    </w:p>
    <w:p w14:paraId="4297C10A"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lastRenderedPageBreak/>
        <w:t xml:space="preserve">Pharmacy staff and collection point staff are aware of Make Every Opportunity Count (MEOC), and should be confident in raising and discussing health topics with patients.  </w:t>
      </w:r>
      <w:hyperlink r:id="rId32" w:history="1">
        <w:r w:rsidRPr="008077C5">
          <w:rPr>
            <w:rFonts w:ascii="Arial" w:eastAsia="Calibri" w:hAnsi="Arial" w:cs="Arial"/>
            <w:color w:val="0563C1" w:themeColor="hyperlink"/>
            <w:sz w:val="24"/>
            <w:szCs w:val="24"/>
            <w:u w:val="single"/>
            <w:lang w:eastAsia="en-GB"/>
          </w:rPr>
          <w:t>www.hphsgrampian.scot.nhs.uk/</w:t>
        </w:r>
      </w:hyperlink>
      <w:hyperlink r:id="rId33"/>
    </w:p>
    <w:p w14:paraId="52D57D97" w14:textId="77777777" w:rsidR="006D34E5" w:rsidRPr="00AB432D" w:rsidRDefault="006D34E5" w:rsidP="008077C5">
      <w:pPr>
        <w:pStyle w:val="Heading1"/>
        <w:rPr>
          <w:rFonts w:eastAsia="Calibri"/>
          <w:lang w:eastAsia="en-GB"/>
        </w:rPr>
      </w:pPr>
      <w:bookmarkStart w:id="6" w:name="_Toc68010500"/>
      <w:r w:rsidRPr="00AB432D">
        <w:rPr>
          <w:rFonts w:eastAsia="Calibri"/>
          <w:lang w:eastAsia="en-GB"/>
        </w:rPr>
        <w:t>Monitoring &amp; evaluation</w:t>
      </w:r>
      <w:bookmarkEnd w:id="6"/>
      <w:r w:rsidRPr="00AB432D">
        <w:rPr>
          <w:rFonts w:eastAsia="Calibri"/>
          <w:lang w:eastAsia="en-GB"/>
        </w:rPr>
        <w:t xml:space="preserve"> </w:t>
      </w:r>
    </w:p>
    <w:p w14:paraId="633FE557"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Contractors must provide evidence of their registration for a paragraph 39 exemption to the Waste Management Licensing (Scotland) Regulations 2011 (as amended) when requested to do so. </w:t>
      </w:r>
    </w:p>
    <w:p w14:paraId="254E327E"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Standard Operating Procedures should be available for all staff to access and should be reviewed every two years or sooner if there are any changes to practice. </w:t>
      </w:r>
    </w:p>
    <w:p w14:paraId="43F3D73A"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Pharmacists, Pharmacy Technicians, and support staff involved in the provision of the service should undertake and retain evidence of relevant CPD/ training. </w:t>
      </w:r>
    </w:p>
    <w:p w14:paraId="7C94A289"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Provision of the service will be monitored and audited regularly by NHS Grampian. </w:t>
      </w:r>
      <w:r w:rsidR="005332A7" w:rsidRPr="008077C5">
        <w:rPr>
          <w:rFonts w:ascii="Arial" w:eastAsia="Calibri" w:hAnsi="Arial" w:cs="Arial"/>
          <w:color w:val="000000"/>
          <w:sz w:val="24"/>
          <w:szCs w:val="24"/>
          <w:lang w:eastAsia="en-GB"/>
        </w:rPr>
        <w:t>All community pharmacies will be audited for compliance with segregation requirements at some point over the next 12 months. This is a requirement of the new healthcare waste contract that all boards in NHS Scotland must adhere to.</w:t>
      </w:r>
    </w:p>
    <w:p w14:paraId="6D2C5322" w14:textId="77777777" w:rsidR="006D34E5" w:rsidRPr="00AB432D" w:rsidRDefault="006D34E5" w:rsidP="008077C5">
      <w:pPr>
        <w:pStyle w:val="Heading1"/>
        <w:rPr>
          <w:rFonts w:eastAsia="Calibri"/>
          <w:lang w:eastAsia="en-GB"/>
        </w:rPr>
      </w:pPr>
      <w:bookmarkStart w:id="7" w:name="_Toc68010501"/>
      <w:r w:rsidRPr="00AB432D">
        <w:rPr>
          <w:rFonts w:eastAsia="Calibri"/>
          <w:lang w:eastAsia="en-GB"/>
        </w:rPr>
        <w:t>Claims and payment</w:t>
      </w:r>
      <w:bookmarkEnd w:id="7"/>
      <w:r w:rsidRPr="00AB432D">
        <w:rPr>
          <w:rFonts w:eastAsia="Calibri"/>
          <w:lang w:eastAsia="en-GB"/>
        </w:rPr>
        <w:t xml:space="preserve"> </w:t>
      </w:r>
    </w:p>
    <w:p w14:paraId="587E38CF"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Provision of all appropriate bins and disposal of all waste is undertaken and paid for by NHS Grampian.   </w:t>
      </w:r>
    </w:p>
    <w:p w14:paraId="7D5647F8"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An annual payment of £210 will be paid each year in May to contractors providing a signed contract agreement (Annual sign up letter).  </w:t>
      </w:r>
    </w:p>
    <w:p w14:paraId="7213EF13" w14:textId="77777777"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This provision will be reviewed each year. </w:t>
      </w:r>
    </w:p>
    <w:p w14:paraId="01C7A105" w14:textId="77777777" w:rsidR="006D34E5" w:rsidRPr="00AB432D" w:rsidRDefault="00907ED2" w:rsidP="008077C5">
      <w:pPr>
        <w:pStyle w:val="Heading1"/>
        <w:rPr>
          <w:rFonts w:eastAsia="Calibri"/>
          <w:lang w:eastAsia="en-GB"/>
        </w:rPr>
      </w:pPr>
      <w:bookmarkStart w:id="8" w:name="_Toc68010502"/>
      <w:r>
        <w:rPr>
          <w:rFonts w:eastAsia="Calibri"/>
          <w:lang w:eastAsia="en-GB"/>
        </w:rPr>
        <w:t>R</w:t>
      </w:r>
      <w:r w:rsidR="006D34E5" w:rsidRPr="00AB432D">
        <w:rPr>
          <w:rFonts w:eastAsia="Calibri"/>
          <w:lang w:eastAsia="en-GB"/>
        </w:rPr>
        <w:t>eferences</w:t>
      </w:r>
      <w:bookmarkEnd w:id="8"/>
      <w:r w:rsidR="006D34E5" w:rsidRPr="00AB432D">
        <w:rPr>
          <w:rFonts w:eastAsia="Calibri"/>
          <w:lang w:eastAsia="en-GB"/>
        </w:rPr>
        <w:t xml:space="preserve"> </w:t>
      </w:r>
    </w:p>
    <w:p w14:paraId="6278ECB2"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Medicines, Ethics and Practice Guide (current edition).  Royal Pharmaceutical Society of Great Britain, London.  </w:t>
      </w:r>
    </w:p>
    <w:p w14:paraId="541D4521"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Health Facilities Scotland: </w:t>
      </w:r>
      <w:hyperlink r:id="rId34">
        <w:r w:rsidRPr="00AB432D">
          <w:rPr>
            <w:rFonts w:ascii="Arial" w:eastAsia="Calibri" w:hAnsi="Arial" w:cs="Arial"/>
            <w:color w:val="0000FF"/>
            <w:sz w:val="24"/>
            <w:szCs w:val="24"/>
            <w:u w:val="single" w:color="0000FF"/>
            <w:lang w:eastAsia="en-GB"/>
          </w:rPr>
          <w:t>http://www.hfs.scot.nhs.uk/publications</w:t>
        </w:r>
      </w:hyperlink>
      <w:hyperlink r:id="rId35">
        <w:r w:rsidRPr="00AB432D">
          <w:rPr>
            <w:rFonts w:ascii="Arial" w:eastAsia="Calibri" w:hAnsi="Arial" w:cs="Arial"/>
            <w:color w:val="0000FF"/>
            <w:sz w:val="24"/>
            <w:szCs w:val="24"/>
            <w:u w:val="single" w:color="0000FF"/>
            <w:lang w:eastAsia="en-GB"/>
          </w:rPr>
          <w:t>-</w:t>
        </w:r>
      </w:hyperlink>
      <w:hyperlink r:id="rId36">
        <w:r w:rsidRPr="00AB432D">
          <w:rPr>
            <w:rFonts w:ascii="Arial" w:eastAsia="Calibri" w:hAnsi="Arial" w:cs="Arial"/>
            <w:color w:val="0000FF"/>
            <w:sz w:val="24"/>
            <w:szCs w:val="24"/>
            <w:u w:val="single" w:color="0000FF"/>
            <w:lang w:eastAsia="en-GB"/>
          </w:rPr>
          <w:t>/</w:t>
        </w:r>
      </w:hyperlink>
      <w:hyperlink r:id="rId37"/>
    </w:p>
    <w:p w14:paraId="01F1D304"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Arial" w:hAnsi="Arial" w:cs="Arial"/>
          <w:color w:val="000000"/>
          <w:sz w:val="24"/>
          <w:szCs w:val="24"/>
          <w:lang w:eastAsia="en-GB"/>
        </w:rPr>
        <w:t xml:space="preserve">Safe Management of Healthcare Waste.     </w:t>
      </w:r>
    </w:p>
    <w:p w14:paraId="3538F3A1"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Arial" w:hAnsi="Arial" w:cs="Arial"/>
          <w:color w:val="000000"/>
          <w:sz w:val="24"/>
          <w:szCs w:val="24"/>
          <w:lang w:eastAsia="en-GB"/>
        </w:rPr>
        <w:t xml:space="preserve">Scottish Health Technical Note 3 Part B – NHS Scotland Waste Management Guidance: Waste Management Policy Template.             </w:t>
      </w:r>
    </w:p>
    <w:p w14:paraId="64E743A7"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Scottish Environment Protection Agency:  </w:t>
      </w:r>
      <w:hyperlink r:id="rId38">
        <w:r w:rsidRPr="00AB432D">
          <w:rPr>
            <w:rFonts w:ascii="Arial" w:eastAsia="Calibri" w:hAnsi="Arial" w:cs="Arial"/>
            <w:color w:val="0000FF"/>
            <w:sz w:val="24"/>
            <w:szCs w:val="24"/>
            <w:u w:val="single" w:color="0000FF"/>
            <w:lang w:eastAsia="en-GB"/>
          </w:rPr>
          <w:t>www.sepa.org.uk</w:t>
        </w:r>
      </w:hyperlink>
      <w:hyperlink r:id="rId39"/>
    </w:p>
    <w:p w14:paraId="171B382F"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Information on the NHS Grampian Prescribed Medicines and Sharps Disposal Service available at the Grampian pages of:  </w:t>
      </w:r>
      <w:hyperlink r:id="rId40">
        <w:r w:rsidRPr="00AB432D">
          <w:rPr>
            <w:rFonts w:ascii="Arial" w:eastAsia="Calibri" w:hAnsi="Arial" w:cs="Arial"/>
            <w:color w:val="0000FF"/>
            <w:sz w:val="24"/>
            <w:szCs w:val="24"/>
            <w:u w:val="single" w:color="0000FF"/>
            <w:lang w:eastAsia="en-GB"/>
          </w:rPr>
          <w:t>www.communitypharmacy.scot.nhs.uk</w:t>
        </w:r>
      </w:hyperlink>
      <w:hyperlink r:id="rId41"/>
    </w:p>
    <w:p w14:paraId="0A4726BD" w14:textId="77777777" w:rsidR="006D34E5" w:rsidRPr="00CC14C0" w:rsidRDefault="006D34E5" w:rsidP="006D34E5">
      <w:pPr>
        <w:spacing w:after="203" w:line="271" w:lineRule="auto"/>
        <w:ind w:left="10" w:hanging="10"/>
        <w:rPr>
          <w:rFonts w:ascii="Arial" w:eastAsia="Calibri" w:hAnsi="Arial" w:cs="Arial"/>
          <w:b/>
          <w:color w:val="000000"/>
          <w:sz w:val="24"/>
          <w:szCs w:val="24"/>
          <w:lang w:eastAsia="en-GB"/>
        </w:rPr>
      </w:pPr>
      <w:r w:rsidRPr="00CC14C0">
        <w:rPr>
          <w:rFonts w:ascii="Arial" w:eastAsia="Calibri" w:hAnsi="Arial" w:cs="Arial"/>
          <w:b/>
          <w:color w:val="000000"/>
          <w:sz w:val="24"/>
          <w:szCs w:val="24"/>
          <w:lang w:eastAsia="en-GB"/>
        </w:rPr>
        <w:t xml:space="preserve">Contact Details  </w:t>
      </w:r>
    </w:p>
    <w:p w14:paraId="66A5D4F5" w14:textId="77777777" w:rsidR="005332A7" w:rsidRDefault="005332A7" w:rsidP="006609F2">
      <w:pPr>
        <w:spacing w:after="0" w:line="240" w:lineRule="auto"/>
        <w:ind w:left="11" w:hanging="11"/>
      </w:pPr>
      <w:r w:rsidRPr="00AB432D">
        <w:rPr>
          <w:rFonts w:ascii="Arial" w:hAnsi="Arial" w:cs="Arial"/>
          <w:sz w:val="24"/>
          <w:szCs w:val="24"/>
        </w:rPr>
        <w:t xml:space="preserve">NHSG Waste Management Officer at </w:t>
      </w:r>
      <w:hyperlink r:id="rId42" w:history="1">
        <w:r w:rsidRPr="00AB432D">
          <w:rPr>
            <w:rStyle w:val="Hyperlink"/>
            <w:rFonts w:ascii="Arial" w:hAnsi="Arial" w:cs="Arial"/>
            <w:sz w:val="24"/>
            <w:szCs w:val="24"/>
          </w:rPr>
          <w:t>neil.duncan3@nhs.scot</w:t>
        </w:r>
      </w:hyperlink>
    </w:p>
    <w:p w14:paraId="02E7B2F8" w14:textId="77777777" w:rsidR="006D34E5" w:rsidRDefault="004C62A5" w:rsidP="006609F2">
      <w:pPr>
        <w:spacing w:after="0" w:line="240" w:lineRule="auto"/>
        <w:ind w:left="11" w:hanging="11"/>
        <w:rPr>
          <w:rFonts w:ascii="Arial" w:eastAsia="Calibri" w:hAnsi="Arial" w:cs="Arial"/>
          <w:color w:val="000000"/>
          <w:sz w:val="24"/>
          <w:szCs w:val="24"/>
          <w:lang w:eastAsia="en-GB"/>
        </w:rPr>
      </w:pPr>
      <w:r>
        <w:rPr>
          <w:rFonts w:ascii="Arial" w:hAnsi="Arial" w:cs="Arial"/>
          <w:sz w:val="24"/>
          <w:szCs w:val="24"/>
        </w:rPr>
        <w:lastRenderedPageBreak/>
        <w:t xml:space="preserve">For issues with waste collections: </w:t>
      </w:r>
      <w:hyperlink r:id="rId43" w:history="1">
        <w:r w:rsidR="00CD71D0" w:rsidRPr="00F869FA">
          <w:rPr>
            <w:rStyle w:val="Hyperlink"/>
            <w:rFonts w:ascii="Arial" w:eastAsia="Calibri" w:hAnsi="Arial" w:cs="Arial"/>
            <w:sz w:val="24"/>
            <w:szCs w:val="24"/>
            <w:lang w:eastAsia="en-GB"/>
          </w:rPr>
          <w:t>NHSScotland-customerservices@tradebe.com</w:t>
        </w:r>
      </w:hyperlink>
      <w:r w:rsidR="00CD71D0">
        <w:rPr>
          <w:rFonts w:ascii="Arial" w:eastAsia="Calibri" w:hAnsi="Arial" w:cs="Arial"/>
          <w:color w:val="000000"/>
          <w:sz w:val="24"/>
          <w:szCs w:val="24"/>
          <w:lang w:eastAsia="en-GB"/>
        </w:rPr>
        <w:t xml:space="preserve"> </w:t>
      </w:r>
    </w:p>
    <w:p w14:paraId="0DC98028" w14:textId="77777777" w:rsidR="004C62A5" w:rsidRDefault="004C62A5" w:rsidP="006609F2">
      <w:pPr>
        <w:spacing w:after="0" w:line="240" w:lineRule="auto"/>
        <w:ind w:left="11" w:hanging="11"/>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To order stocks of bins and bags: </w:t>
      </w:r>
      <w:hyperlink r:id="rId44" w:history="1">
        <w:r w:rsidRPr="00F869FA">
          <w:rPr>
            <w:rStyle w:val="Hyperlink"/>
            <w:rFonts w:ascii="Arial" w:eastAsia="Calibri" w:hAnsi="Arial" w:cs="Arial"/>
            <w:sz w:val="24"/>
            <w:szCs w:val="24"/>
            <w:lang w:eastAsia="en-GB"/>
          </w:rPr>
          <w:t>https://www.perfecthygiene.co.uk/nhs.html</w:t>
        </w:r>
      </w:hyperlink>
    </w:p>
    <w:p w14:paraId="06462A85" w14:textId="77777777" w:rsidR="004C62A5" w:rsidRPr="00AB432D" w:rsidRDefault="004C62A5" w:rsidP="006D34E5">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Or email </w:t>
      </w:r>
      <w:hyperlink r:id="rId45" w:history="1">
        <w:r w:rsidRPr="00F869FA">
          <w:rPr>
            <w:rStyle w:val="Hyperlink"/>
            <w:rFonts w:ascii="Arial" w:eastAsia="Calibri" w:hAnsi="Arial" w:cs="Arial"/>
            <w:sz w:val="24"/>
            <w:szCs w:val="24"/>
            <w:lang w:eastAsia="en-GB"/>
          </w:rPr>
          <w:t>admin@perfecthygiene.co.uk</w:t>
        </w:r>
      </w:hyperlink>
      <w:r>
        <w:rPr>
          <w:rFonts w:ascii="Arial" w:eastAsia="Calibri" w:hAnsi="Arial" w:cs="Arial"/>
          <w:color w:val="000000"/>
          <w:sz w:val="24"/>
          <w:szCs w:val="24"/>
          <w:lang w:eastAsia="en-GB"/>
        </w:rPr>
        <w:t xml:space="preserve"> </w:t>
      </w:r>
    </w:p>
    <w:p w14:paraId="4CD9EC55" w14:textId="77777777" w:rsidR="006D34E5" w:rsidRPr="00AB432D" w:rsidRDefault="006D34E5" w:rsidP="006D34E5">
      <w:pPr>
        <w:spacing w:after="203" w:line="271" w:lineRule="auto"/>
        <w:ind w:left="10" w:hanging="10"/>
        <w:rPr>
          <w:rFonts w:ascii="Arial" w:eastAsia="Calibri" w:hAnsi="Arial" w:cs="Arial"/>
          <w:color w:val="000000"/>
          <w:sz w:val="24"/>
          <w:szCs w:val="24"/>
          <w:lang w:eastAsia="en-GB"/>
        </w:rPr>
      </w:pPr>
    </w:p>
    <w:p w14:paraId="5F4C65AC" w14:textId="77777777" w:rsidR="006D34E5" w:rsidRPr="00AB432D" w:rsidRDefault="006D34E5" w:rsidP="008077C5">
      <w:pPr>
        <w:spacing w:after="203" w:line="271" w:lineRule="auto"/>
        <w:rPr>
          <w:rFonts w:ascii="Arial" w:eastAsia="Calibri" w:hAnsi="Arial" w:cs="Arial"/>
          <w:color w:val="000000"/>
          <w:sz w:val="24"/>
          <w:szCs w:val="24"/>
          <w:lang w:eastAsia="en-GB"/>
        </w:rPr>
      </w:pPr>
      <w:bookmarkStart w:id="9" w:name="_Toc68010503"/>
      <w:r w:rsidRPr="008077C5">
        <w:rPr>
          <w:rStyle w:val="Heading1Char"/>
        </w:rPr>
        <w:t>Appendix 1</w:t>
      </w:r>
      <w:bookmarkEnd w:id="9"/>
      <w:r w:rsidRPr="00AB432D">
        <w:rPr>
          <w:rFonts w:ascii="Arial" w:eastAsia="Calibri" w:hAnsi="Arial" w:cs="Arial"/>
          <w:color w:val="000000"/>
          <w:sz w:val="24"/>
          <w:szCs w:val="24"/>
          <w:lang w:eastAsia="en-GB"/>
        </w:rPr>
        <w:t xml:space="preserve"> – Management of Occupational Exposure to Blood Borne Viruses</w:t>
      </w:r>
    </w:p>
    <w:p w14:paraId="10E56DCD" w14:textId="77777777" w:rsidR="006D34E5" w:rsidRPr="00AB432D" w:rsidRDefault="006D34E5" w:rsidP="006D34E5">
      <w:pPr>
        <w:spacing w:after="203" w:line="271" w:lineRule="auto"/>
        <w:ind w:left="10" w:hanging="10"/>
        <w:jc w:val="center"/>
        <w:rPr>
          <w:rFonts w:ascii="Arial" w:eastAsia="Calibri" w:hAnsi="Arial" w:cs="Arial"/>
          <w:color w:val="000000"/>
          <w:sz w:val="24"/>
          <w:szCs w:val="24"/>
          <w:lang w:eastAsia="en-GB"/>
        </w:rPr>
      </w:pPr>
      <w:r w:rsidRPr="00AB432D">
        <w:rPr>
          <w:rFonts w:ascii="Arial" w:eastAsia="Calibri" w:hAnsi="Arial" w:cs="Arial"/>
          <w:noProof/>
          <w:color w:val="000000"/>
          <w:sz w:val="24"/>
          <w:szCs w:val="24"/>
          <w:lang w:eastAsia="en-GB"/>
        </w:rPr>
        <w:drawing>
          <wp:inline distT="0" distB="0" distL="0" distR="0" wp14:anchorId="5CDD8B61" wp14:editId="3A38E719">
            <wp:extent cx="4676775" cy="6686550"/>
            <wp:effectExtent l="0" t="0" r="9525" b="0"/>
            <wp:docPr id="7576" name="Picture 7576"/>
            <wp:cNvGraphicFramePr/>
            <a:graphic xmlns:a="http://schemas.openxmlformats.org/drawingml/2006/main">
              <a:graphicData uri="http://schemas.openxmlformats.org/drawingml/2006/picture">
                <pic:pic xmlns:pic="http://schemas.openxmlformats.org/drawingml/2006/picture">
                  <pic:nvPicPr>
                    <pic:cNvPr id="7576" name="Picture 7576"/>
                    <pic:cNvPicPr/>
                  </pic:nvPicPr>
                  <pic:blipFill>
                    <a:blip r:embed="rId46" cstate="print"/>
                    <a:stretch>
                      <a:fillRect/>
                    </a:stretch>
                  </pic:blipFill>
                  <pic:spPr>
                    <a:xfrm>
                      <a:off x="0" y="0"/>
                      <a:ext cx="4676775" cy="6686550"/>
                    </a:xfrm>
                    <a:prstGeom prst="rect">
                      <a:avLst/>
                    </a:prstGeom>
                  </pic:spPr>
                </pic:pic>
              </a:graphicData>
            </a:graphic>
          </wp:inline>
        </w:drawing>
      </w:r>
    </w:p>
    <w:p w14:paraId="4CB1FDAE" w14:textId="77777777" w:rsidR="006D34E5" w:rsidRDefault="006D34E5" w:rsidP="006D34E5">
      <w:pPr>
        <w:spacing w:after="203" w:line="271" w:lineRule="auto"/>
        <w:ind w:left="10" w:hanging="10"/>
        <w:rPr>
          <w:rFonts w:ascii="Arial" w:eastAsia="Calibri" w:hAnsi="Arial" w:cs="Arial"/>
          <w:color w:val="000000"/>
          <w:sz w:val="24"/>
          <w:szCs w:val="24"/>
          <w:lang w:eastAsia="en-GB"/>
        </w:rPr>
      </w:pPr>
    </w:p>
    <w:p w14:paraId="635DDC7E" w14:textId="77777777" w:rsidR="00232757" w:rsidRDefault="00232757">
      <w:pPr>
        <w:rPr>
          <w:rStyle w:val="Heading1Char"/>
        </w:rPr>
      </w:pPr>
      <w:bookmarkStart w:id="10" w:name="_Toc68010504"/>
    </w:p>
    <w:p w14:paraId="22E0B746" w14:textId="77777777" w:rsidR="00232757" w:rsidRDefault="00232757">
      <w:pPr>
        <w:rPr>
          <w:rStyle w:val="Heading1Char"/>
        </w:rPr>
      </w:pPr>
    </w:p>
    <w:p w14:paraId="21E3C8AE" w14:textId="77777777" w:rsidR="00232757" w:rsidRDefault="00232757">
      <w:pPr>
        <w:rPr>
          <w:rStyle w:val="Heading1Char"/>
        </w:rPr>
      </w:pPr>
    </w:p>
    <w:p w14:paraId="3A96834B" w14:textId="77777777" w:rsidR="00614B08" w:rsidRDefault="00907ED2">
      <w:pPr>
        <w:rPr>
          <w:rFonts w:ascii="Arial" w:hAnsi="Arial" w:cs="Arial"/>
          <w:sz w:val="24"/>
          <w:szCs w:val="24"/>
        </w:rPr>
      </w:pPr>
      <w:r w:rsidRPr="008077C5">
        <w:rPr>
          <w:rStyle w:val="Heading1Char"/>
        </w:rPr>
        <w:t>Appendix 2</w:t>
      </w:r>
      <w:bookmarkEnd w:id="10"/>
      <w:r>
        <w:rPr>
          <w:rFonts w:ascii="Arial" w:hAnsi="Arial" w:cs="Arial"/>
          <w:sz w:val="24"/>
          <w:szCs w:val="24"/>
        </w:rPr>
        <w:t xml:space="preserve"> –</w:t>
      </w:r>
      <w:r w:rsidR="00041BE9">
        <w:rPr>
          <w:rFonts w:ascii="Arial" w:hAnsi="Arial" w:cs="Arial"/>
          <w:sz w:val="24"/>
          <w:szCs w:val="24"/>
        </w:rPr>
        <w:t xml:space="preserve"> </w:t>
      </w:r>
      <w:r>
        <w:rPr>
          <w:rFonts w:ascii="Arial" w:hAnsi="Arial" w:cs="Arial"/>
          <w:sz w:val="24"/>
          <w:szCs w:val="24"/>
        </w:rPr>
        <w:t>Cytostatic Medication List</w:t>
      </w:r>
    </w:p>
    <w:p w14:paraId="3B37A40C" w14:textId="77777777" w:rsidR="00041BE9" w:rsidRDefault="00041BE9">
      <w:pPr>
        <w:rPr>
          <w:rFonts w:ascii="Arial" w:hAnsi="Arial" w:cs="Arial"/>
          <w:sz w:val="24"/>
          <w:szCs w:val="24"/>
        </w:rPr>
      </w:pPr>
      <w:r>
        <w:rPr>
          <w:rFonts w:ascii="Arial" w:hAnsi="Arial" w:cs="Arial"/>
          <w:sz w:val="24"/>
          <w:szCs w:val="24"/>
        </w:rPr>
        <w:t>The medicines listed below must all be disposed of in purple waste streams.</w:t>
      </w:r>
    </w:p>
    <w:p w14:paraId="609D24FE" w14:textId="77777777" w:rsidR="00041BE9" w:rsidRDefault="00041BE9" w:rsidP="00041BE9">
      <w:pPr>
        <w:pStyle w:val="NoSpacing"/>
      </w:pPr>
    </w:p>
    <w:tbl>
      <w:tblPr>
        <w:tblStyle w:val="MediumShading2-Accent5"/>
        <w:tblW w:w="0" w:type="auto"/>
        <w:tblLook w:val="04A0" w:firstRow="1" w:lastRow="0" w:firstColumn="1" w:lastColumn="0" w:noHBand="0" w:noVBand="1"/>
      </w:tblPr>
      <w:tblGrid>
        <w:gridCol w:w="2185"/>
        <w:gridCol w:w="6841"/>
      </w:tblGrid>
      <w:tr w:rsidR="00041BE9" w:rsidRPr="009B0711" w14:paraId="45638D37" w14:textId="77777777" w:rsidTr="00F845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42" w:type="dxa"/>
          </w:tcPr>
          <w:p w14:paraId="07A10CCD" w14:textId="77777777" w:rsidR="00041BE9" w:rsidRPr="009B0711" w:rsidRDefault="00041BE9" w:rsidP="00F84518">
            <w:pPr>
              <w:pStyle w:val="NoSpacing"/>
              <w:rPr>
                <w:sz w:val="28"/>
                <w:szCs w:val="28"/>
              </w:rPr>
            </w:pPr>
            <w:r w:rsidRPr="009B0711">
              <w:rPr>
                <w:sz w:val="28"/>
                <w:szCs w:val="28"/>
              </w:rPr>
              <w:t>Drug Class</w:t>
            </w:r>
          </w:p>
        </w:tc>
        <w:tc>
          <w:tcPr>
            <w:tcW w:w="7100" w:type="dxa"/>
          </w:tcPr>
          <w:p w14:paraId="4874D6DC" w14:textId="77777777" w:rsidR="00041BE9" w:rsidRPr="009B0711" w:rsidRDefault="00041BE9" w:rsidP="00F84518">
            <w:pPr>
              <w:pStyle w:val="NoSpacing"/>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Cytostatic A</w:t>
            </w:r>
            <w:r w:rsidRPr="009B0711">
              <w:rPr>
                <w:sz w:val="28"/>
                <w:szCs w:val="28"/>
              </w:rPr>
              <w:t>gents</w:t>
            </w:r>
          </w:p>
        </w:tc>
      </w:tr>
      <w:tr w:rsidR="00041BE9" w14:paraId="2B05BB84" w14:textId="77777777" w:rsidTr="00F84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tcBorders>
              <w:bottom w:val="single" w:sz="4" w:space="0" w:color="auto"/>
            </w:tcBorders>
          </w:tcPr>
          <w:p w14:paraId="172D41E9" w14:textId="77777777" w:rsidR="00041BE9" w:rsidRDefault="00041BE9" w:rsidP="00F84518">
            <w:pPr>
              <w:pStyle w:val="NoSpacing"/>
            </w:pPr>
            <w:proofErr w:type="spellStart"/>
            <w:r>
              <w:t>Antibacterials</w:t>
            </w:r>
            <w:proofErr w:type="spellEnd"/>
          </w:p>
        </w:tc>
        <w:tc>
          <w:tcPr>
            <w:tcW w:w="7100" w:type="dxa"/>
            <w:tcBorders>
              <w:bottom w:val="single" w:sz="4" w:space="0" w:color="auto"/>
            </w:tcBorders>
            <w:shd w:val="clear" w:color="auto" w:fill="FFFFFF" w:themeFill="background1"/>
          </w:tcPr>
          <w:p w14:paraId="3E4653B2"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Chloramphenicol</w:t>
            </w:r>
          </w:p>
        </w:tc>
      </w:tr>
      <w:tr w:rsidR="00041BE9" w14:paraId="43C2EBE5" w14:textId="77777777" w:rsidTr="00F84518">
        <w:tc>
          <w:tcPr>
            <w:cnfStyle w:val="001000000000" w:firstRow="0" w:lastRow="0" w:firstColumn="1" w:lastColumn="0" w:oddVBand="0" w:evenVBand="0" w:oddHBand="0" w:evenHBand="0" w:firstRowFirstColumn="0" w:firstRowLastColumn="0" w:lastRowFirstColumn="0" w:lastRowLastColumn="0"/>
            <w:tcW w:w="2142" w:type="dxa"/>
            <w:tcBorders>
              <w:top w:val="single" w:sz="4" w:space="0" w:color="auto"/>
              <w:bottom w:val="single" w:sz="4" w:space="0" w:color="auto"/>
            </w:tcBorders>
          </w:tcPr>
          <w:p w14:paraId="15F7875B" w14:textId="77777777" w:rsidR="00041BE9" w:rsidRDefault="00041BE9" w:rsidP="00F84518">
            <w:pPr>
              <w:pStyle w:val="NoSpacing"/>
            </w:pPr>
            <w:r>
              <w:t>Antivirals</w:t>
            </w:r>
          </w:p>
        </w:tc>
        <w:tc>
          <w:tcPr>
            <w:tcW w:w="7100" w:type="dxa"/>
            <w:tcBorders>
              <w:top w:val="single" w:sz="4" w:space="0" w:color="auto"/>
              <w:bottom w:val="single" w:sz="4" w:space="0" w:color="auto"/>
            </w:tcBorders>
            <w:shd w:val="clear" w:color="auto" w:fill="FFFFFF" w:themeFill="background1"/>
          </w:tcPr>
          <w:p w14:paraId="54105DB6" w14:textId="77777777"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Medicines active against HIV</w:t>
            </w:r>
          </w:p>
          <w:p w14:paraId="12E7FD0A"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zidovudine, </w:t>
            </w:r>
            <w:proofErr w:type="spellStart"/>
            <w:r>
              <w:t>tenofovir</w:t>
            </w:r>
            <w:proofErr w:type="spellEnd"/>
            <w:r>
              <w:t xml:space="preserve">, </w:t>
            </w:r>
            <w:proofErr w:type="spellStart"/>
            <w:r>
              <w:t>emtricitabine</w:t>
            </w:r>
            <w:proofErr w:type="spellEnd"/>
          </w:p>
          <w:p w14:paraId="68E32E04" w14:textId="77777777"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Medicines active against herpesviruses</w:t>
            </w:r>
          </w:p>
          <w:p w14:paraId="6E6930EF"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e.g. ganciclovir</w:t>
            </w:r>
          </w:p>
          <w:p w14:paraId="548726BA" w14:textId="77777777"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Medicines active against viral hepatitis</w:t>
            </w:r>
          </w:p>
          <w:p w14:paraId="5FE5889B"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w:t>
            </w:r>
            <w:proofErr w:type="spellStart"/>
            <w:r>
              <w:t>tenofovir</w:t>
            </w:r>
            <w:proofErr w:type="spellEnd"/>
            <w:r>
              <w:t xml:space="preserve">, </w:t>
            </w:r>
            <w:proofErr w:type="spellStart"/>
            <w:r>
              <w:t>entecavir</w:t>
            </w:r>
            <w:proofErr w:type="spellEnd"/>
          </w:p>
          <w:p w14:paraId="03B696C0" w14:textId="77777777"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Medicines active against respiratory syncytial virus</w:t>
            </w:r>
          </w:p>
          <w:p w14:paraId="0EC20192"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e.g. ribavirin</w:t>
            </w:r>
          </w:p>
        </w:tc>
      </w:tr>
      <w:tr w:rsidR="00041BE9" w14:paraId="59C107FD" w14:textId="77777777" w:rsidTr="00F84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tcBorders>
              <w:top w:val="single" w:sz="4" w:space="0" w:color="auto"/>
              <w:bottom w:val="single" w:sz="4" w:space="0" w:color="auto"/>
            </w:tcBorders>
          </w:tcPr>
          <w:p w14:paraId="27E09054" w14:textId="77777777" w:rsidR="00041BE9" w:rsidRDefault="00041BE9" w:rsidP="00F84518">
            <w:pPr>
              <w:pStyle w:val="NoSpacing"/>
            </w:pPr>
            <w:r>
              <w:t>Hormones and other endocrine agents</w:t>
            </w:r>
          </w:p>
        </w:tc>
        <w:tc>
          <w:tcPr>
            <w:tcW w:w="7100" w:type="dxa"/>
            <w:tcBorders>
              <w:top w:val="single" w:sz="4" w:space="0" w:color="auto"/>
              <w:bottom w:val="single" w:sz="4" w:space="0" w:color="auto"/>
            </w:tcBorders>
            <w:shd w:val="clear" w:color="auto" w:fill="FFFFFF" w:themeFill="background1"/>
          </w:tcPr>
          <w:p w14:paraId="6D0D9BB6" w14:textId="77777777"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HRT products</w:t>
            </w:r>
          </w:p>
          <w:p w14:paraId="3E1B93F9" w14:textId="77777777"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Oral contraceptives</w:t>
            </w:r>
          </w:p>
          <w:p w14:paraId="43087EDD" w14:textId="77777777"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Pr>
                <w:b/>
              </w:rPr>
              <w:t>Oe</w:t>
            </w:r>
            <w:r w:rsidRPr="009B0711">
              <w:rPr>
                <w:b/>
              </w:rPr>
              <w:t>strogens</w:t>
            </w:r>
          </w:p>
          <w:p w14:paraId="37F7C219"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r>
            <w:proofErr w:type="spellStart"/>
            <w:r>
              <w:t>e.g.diethylstilbestrol</w:t>
            </w:r>
            <w:proofErr w:type="spellEnd"/>
          </w:p>
          <w:p w14:paraId="36DDFC72" w14:textId="77777777"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Progestogens</w:t>
            </w:r>
          </w:p>
          <w:p w14:paraId="7D2A6033"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w:t>
            </w:r>
            <w:proofErr w:type="spellStart"/>
            <w:r>
              <w:t>megestrol</w:t>
            </w:r>
            <w:proofErr w:type="spellEnd"/>
          </w:p>
          <w:p w14:paraId="5DB98CF8" w14:textId="77777777"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Male sex hormones and antagonists</w:t>
            </w:r>
          </w:p>
          <w:p w14:paraId="3261FD75"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testosterone, finasteride, </w:t>
            </w:r>
            <w:proofErr w:type="spellStart"/>
            <w:r>
              <w:t>cyproterone</w:t>
            </w:r>
            <w:proofErr w:type="spellEnd"/>
          </w:p>
          <w:p w14:paraId="7445328A" w14:textId="77777777"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Drugs affecting gonadotrophins</w:t>
            </w:r>
          </w:p>
          <w:p w14:paraId="1DB0CB73"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w:t>
            </w:r>
            <w:proofErr w:type="spellStart"/>
            <w:r>
              <w:t>danazol</w:t>
            </w:r>
            <w:proofErr w:type="spellEnd"/>
            <w:r>
              <w:t xml:space="preserve">,  </w:t>
            </w:r>
            <w:proofErr w:type="spellStart"/>
            <w:r>
              <w:t>triptorelin</w:t>
            </w:r>
            <w:proofErr w:type="spellEnd"/>
          </w:p>
          <w:p w14:paraId="2279C33C" w14:textId="77777777"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Hypothalamic and pituitary hormones and antagonists</w:t>
            </w:r>
          </w:p>
          <w:p w14:paraId="3443A113"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gonadotrophin, </w:t>
            </w:r>
            <w:proofErr w:type="spellStart"/>
            <w:r>
              <w:t>clomifene</w:t>
            </w:r>
            <w:proofErr w:type="spellEnd"/>
          </w:p>
          <w:p w14:paraId="21872C4C" w14:textId="77777777"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 xml:space="preserve">Prostaglandins and </w:t>
            </w:r>
            <w:proofErr w:type="spellStart"/>
            <w:r w:rsidRPr="009B0711">
              <w:rPr>
                <w:b/>
              </w:rPr>
              <w:t>oxytocics</w:t>
            </w:r>
            <w:proofErr w:type="spellEnd"/>
          </w:p>
          <w:p w14:paraId="59BB23A5"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w:t>
            </w:r>
            <w:proofErr w:type="spellStart"/>
            <w:r>
              <w:t>dinoprostone</w:t>
            </w:r>
            <w:proofErr w:type="spellEnd"/>
            <w:r>
              <w:t xml:space="preserve">, mifepristone, misoprostol, oxytocin, </w:t>
            </w:r>
            <w:proofErr w:type="spellStart"/>
            <w:r>
              <w:t>ergometrine</w:t>
            </w:r>
            <w:proofErr w:type="spellEnd"/>
          </w:p>
          <w:p w14:paraId="7B534814" w14:textId="77777777"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Hormone antagonists</w:t>
            </w:r>
          </w:p>
          <w:p w14:paraId="450130FC"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w:t>
            </w:r>
            <w:proofErr w:type="spellStart"/>
            <w:r>
              <w:t>anastrozole</w:t>
            </w:r>
            <w:proofErr w:type="spellEnd"/>
            <w:r>
              <w:t xml:space="preserve">, </w:t>
            </w:r>
            <w:proofErr w:type="spellStart"/>
            <w:r>
              <w:t>letrozole</w:t>
            </w:r>
            <w:proofErr w:type="spellEnd"/>
            <w:r>
              <w:t xml:space="preserve">, tamoxifen,  </w:t>
            </w:r>
            <w:proofErr w:type="spellStart"/>
            <w:r>
              <w:t>exemestane</w:t>
            </w:r>
            <w:proofErr w:type="spellEnd"/>
          </w:p>
        </w:tc>
      </w:tr>
      <w:tr w:rsidR="00041BE9" w14:paraId="026B8346" w14:textId="77777777" w:rsidTr="00F84518">
        <w:tc>
          <w:tcPr>
            <w:cnfStyle w:val="001000000000" w:firstRow="0" w:lastRow="0" w:firstColumn="1" w:lastColumn="0" w:oddVBand="0" w:evenVBand="0" w:oddHBand="0" w:evenHBand="0" w:firstRowFirstColumn="0" w:firstRowLastColumn="0" w:lastRowFirstColumn="0" w:lastRowLastColumn="0"/>
            <w:tcW w:w="2142" w:type="dxa"/>
            <w:tcBorders>
              <w:top w:val="single" w:sz="4" w:space="0" w:color="auto"/>
              <w:bottom w:val="single" w:sz="4" w:space="0" w:color="auto"/>
            </w:tcBorders>
          </w:tcPr>
          <w:p w14:paraId="5D5C69F2" w14:textId="77777777" w:rsidR="00041BE9" w:rsidRDefault="00041BE9" w:rsidP="00F84518">
            <w:pPr>
              <w:pStyle w:val="NoSpacing"/>
            </w:pPr>
            <w:proofErr w:type="spellStart"/>
            <w:r>
              <w:t>Immunosuppressants</w:t>
            </w:r>
            <w:proofErr w:type="spellEnd"/>
            <w:r>
              <w:t xml:space="preserve"> and </w:t>
            </w:r>
            <w:proofErr w:type="spellStart"/>
            <w:r>
              <w:t>immunomodulators</w:t>
            </w:r>
            <w:proofErr w:type="spellEnd"/>
          </w:p>
        </w:tc>
        <w:tc>
          <w:tcPr>
            <w:tcW w:w="7100" w:type="dxa"/>
            <w:tcBorders>
              <w:top w:val="single" w:sz="4" w:space="0" w:color="auto"/>
              <w:bottom w:val="single" w:sz="4" w:space="0" w:color="auto"/>
            </w:tcBorders>
            <w:shd w:val="clear" w:color="auto" w:fill="FFFFFF" w:themeFill="background1"/>
          </w:tcPr>
          <w:p w14:paraId="3D595E7A" w14:textId="77777777"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proofErr w:type="spellStart"/>
            <w:r w:rsidRPr="009B0711">
              <w:rPr>
                <w:b/>
              </w:rPr>
              <w:t>Antiproliferative</w:t>
            </w:r>
            <w:proofErr w:type="spellEnd"/>
            <w:r w:rsidRPr="009B0711">
              <w:rPr>
                <w:b/>
              </w:rPr>
              <w:t xml:space="preserve"> </w:t>
            </w:r>
            <w:proofErr w:type="spellStart"/>
            <w:r w:rsidRPr="009B0711">
              <w:rPr>
                <w:b/>
              </w:rPr>
              <w:t>immunosuppressants</w:t>
            </w:r>
            <w:proofErr w:type="spellEnd"/>
          </w:p>
          <w:p w14:paraId="288A47F0"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azathioprine, </w:t>
            </w:r>
            <w:proofErr w:type="spellStart"/>
            <w:r>
              <w:t>mercaptopurine</w:t>
            </w:r>
            <w:proofErr w:type="spellEnd"/>
            <w:r>
              <w:t>, mycophenolate</w:t>
            </w:r>
          </w:p>
          <w:p w14:paraId="5BF67EF4"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Colchicine</w:t>
            </w:r>
          </w:p>
          <w:p w14:paraId="1A713C65"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proofErr w:type="spellStart"/>
            <w:r>
              <w:t>Leflunomide</w:t>
            </w:r>
            <w:proofErr w:type="spellEnd"/>
          </w:p>
          <w:p w14:paraId="0526BBCC"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Infliximab</w:t>
            </w:r>
          </w:p>
          <w:p w14:paraId="39FF3110"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Rituximab</w:t>
            </w:r>
          </w:p>
          <w:p w14:paraId="0E0A163F" w14:textId="77777777"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 xml:space="preserve">Other </w:t>
            </w:r>
            <w:proofErr w:type="spellStart"/>
            <w:r w:rsidRPr="009B0711">
              <w:rPr>
                <w:b/>
              </w:rPr>
              <w:t>immunosuppressants</w:t>
            </w:r>
            <w:proofErr w:type="spellEnd"/>
          </w:p>
          <w:p w14:paraId="340423CA"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w:t>
            </w:r>
            <w:proofErr w:type="spellStart"/>
            <w:r>
              <w:t>ciclosporin</w:t>
            </w:r>
            <w:proofErr w:type="spellEnd"/>
            <w:r>
              <w:t>, tacrolimus</w:t>
            </w:r>
          </w:p>
          <w:p w14:paraId="1DDDB901" w14:textId="77777777"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 xml:space="preserve">Other </w:t>
            </w:r>
            <w:proofErr w:type="spellStart"/>
            <w:r w:rsidRPr="009B0711">
              <w:rPr>
                <w:b/>
              </w:rPr>
              <w:t>immunomodulating</w:t>
            </w:r>
            <w:proofErr w:type="spellEnd"/>
            <w:r w:rsidRPr="009B0711">
              <w:rPr>
                <w:b/>
              </w:rPr>
              <w:t xml:space="preserve"> drugs</w:t>
            </w:r>
          </w:p>
          <w:p w14:paraId="5E0F0CD0" w14:textId="77777777"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w:t>
            </w:r>
            <w:proofErr w:type="spellStart"/>
            <w:r>
              <w:t>fingolimod</w:t>
            </w:r>
            <w:proofErr w:type="spellEnd"/>
            <w:r>
              <w:t>, interferons, thalidomide, BCG vaccine</w:t>
            </w:r>
          </w:p>
        </w:tc>
      </w:tr>
      <w:tr w:rsidR="00041BE9" w14:paraId="0DFDFFE0" w14:textId="77777777" w:rsidTr="00F84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tcBorders>
              <w:top w:val="single" w:sz="4" w:space="0" w:color="auto"/>
            </w:tcBorders>
          </w:tcPr>
          <w:p w14:paraId="7197C3A2" w14:textId="77777777" w:rsidR="00041BE9" w:rsidRDefault="00041BE9" w:rsidP="00F84518">
            <w:pPr>
              <w:pStyle w:val="NoSpacing"/>
            </w:pPr>
            <w:r>
              <w:lastRenderedPageBreak/>
              <w:t>Dermatological preparations</w:t>
            </w:r>
          </w:p>
        </w:tc>
        <w:tc>
          <w:tcPr>
            <w:tcW w:w="7100" w:type="dxa"/>
            <w:tcBorders>
              <w:top w:val="single" w:sz="4" w:space="0" w:color="auto"/>
            </w:tcBorders>
            <w:shd w:val="clear" w:color="auto" w:fill="FFFFFF" w:themeFill="background1"/>
          </w:tcPr>
          <w:p w14:paraId="66390853"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Coal tar</w:t>
            </w:r>
          </w:p>
          <w:p w14:paraId="35014D44" w14:textId="77777777"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proofErr w:type="spellStart"/>
            <w:r>
              <w:t>Dithranol</w:t>
            </w:r>
            <w:proofErr w:type="spellEnd"/>
          </w:p>
        </w:tc>
      </w:tr>
    </w:tbl>
    <w:p w14:paraId="644DE381" w14:textId="77777777" w:rsidR="00041BE9" w:rsidRDefault="00041BE9" w:rsidP="00041BE9">
      <w:pPr>
        <w:pStyle w:val="NoSpacing"/>
      </w:pPr>
    </w:p>
    <w:p w14:paraId="1B1DAF5F" w14:textId="77777777" w:rsidR="00041BE9" w:rsidRDefault="00041BE9">
      <w:pPr>
        <w:rPr>
          <w:rFonts w:ascii="Arial" w:hAnsi="Arial" w:cs="Arial"/>
          <w:sz w:val="24"/>
          <w:szCs w:val="24"/>
        </w:rPr>
      </w:pPr>
    </w:p>
    <w:sectPr w:rsidR="00041BE9" w:rsidSect="008077C5">
      <w:headerReference w:type="default" r:id="rId47"/>
      <w:footerReference w:type="default" r:id="rId4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3724F" w14:textId="77777777" w:rsidR="008077C5" w:rsidRDefault="008077C5" w:rsidP="008077C5">
      <w:pPr>
        <w:spacing w:after="0" w:line="240" w:lineRule="auto"/>
      </w:pPr>
      <w:r>
        <w:separator/>
      </w:r>
    </w:p>
  </w:endnote>
  <w:endnote w:type="continuationSeparator" w:id="0">
    <w:p w14:paraId="67CAC745" w14:textId="77777777" w:rsidR="008077C5" w:rsidRDefault="008077C5" w:rsidP="0080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5A325" w14:textId="77777777" w:rsidR="00267401" w:rsidRPr="00267401" w:rsidRDefault="00232757" w:rsidP="00232757">
    <w:pPr>
      <w:pStyle w:val="Footer"/>
      <w:jc w:val="cente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w:t>
    </w:r>
    <w:r w:rsidR="00267401" w:rsidRPr="00267401">
      <w:rPr>
        <w:rFonts w:ascii="Arial" w:hAnsi="Arial" w:cs="Arial"/>
        <w:sz w:val="24"/>
        <w:szCs w:val="24"/>
      </w:rPr>
      <w:t>LA_Waste</w:t>
    </w:r>
    <w:proofErr w:type="spellEnd"/>
    <w:r w:rsidR="00267401" w:rsidRPr="00267401">
      <w:rPr>
        <w:rFonts w:ascii="Arial" w:hAnsi="Arial" w:cs="Arial"/>
        <w:sz w:val="24"/>
        <w:szCs w:val="24"/>
      </w:rPr>
      <w:t xml:space="preserve"> Disposal and Collection</w:t>
    </w:r>
  </w:p>
  <w:p w14:paraId="7B20746A" w14:textId="589B5ADD" w:rsidR="00267401" w:rsidRPr="00267401" w:rsidRDefault="00267401" w:rsidP="00267401">
    <w:pPr>
      <w:pStyle w:val="Footer"/>
      <w:jc w:val="right"/>
      <w:rPr>
        <w:rFonts w:ascii="Arial" w:hAnsi="Arial" w:cs="Arial"/>
        <w:sz w:val="24"/>
        <w:szCs w:val="24"/>
      </w:rPr>
    </w:pPr>
    <w:r w:rsidRPr="00267401">
      <w:rPr>
        <w:rFonts w:ascii="Arial" w:hAnsi="Arial" w:cs="Arial"/>
        <w:sz w:val="24"/>
        <w:szCs w:val="24"/>
      </w:rPr>
      <w:t>202</w:t>
    </w:r>
    <w:r w:rsidR="009D0BBF">
      <w:rPr>
        <w:rFonts w:ascii="Arial" w:hAnsi="Arial" w:cs="Arial"/>
        <w:sz w:val="24"/>
        <w:szCs w:val="24"/>
      </w:rPr>
      <w:t>5-28</w:t>
    </w:r>
  </w:p>
  <w:p w14:paraId="271F0CA2" w14:textId="396A637E" w:rsidR="00267401" w:rsidRPr="00267401" w:rsidRDefault="009D0BBF" w:rsidP="00267401">
    <w:pPr>
      <w:pStyle w:val="Footer"/>
      <w:jc w:val="right"/>
      <w:rPr>
        <w:rFonts w:ascii="Arial" w:hAnsi="Arial" w:cs="Arial"/>
        <w:sz w:val="24"/>
        <w:szCs w:val="24"/>
      </w:rPr>
    </w:pPr>
    <w:r>
      <w:rPr>
        <w:rFonts w:ascii="Arial" w:hAnsi="Arial" w:cs="Arial"/>
        <w:sz w:val="24"/>
        <w:szCs w:val="24"/>
      </w:rPr>
      <w:t>V8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7CC5F" w14:textId="77777777" w:rsidR="008077C5" w:rsidRDefault="008077C5" w:rsidP="008077C5">
      <w:pPr>
        <w:spacing w:after="0" w:line="240" w:lineRule="auto"/>
      </w:pPr>
      <w:r>
        <w:separator/>
      </w:r>
    </w:p>
  </w:footnote>
  <w:footnote w:type="continuationSeparator" w:id="0">
    <w:p w14:paraId="113BB163" w14:textId="77777777" w:rsidR="008077C5" w:rsidRDefault="008077C5" w:rsidP="00807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8EA4" w14:textId="77777777" w:rsidR="008077C5" w:rsidRPr="00267401" w:rsidRDefault="008077C5" w:rsidP="008077C5">
    <w:pPr>
      <w:pStyle w:val="Footer"/>
      <w:jc w:val="right"/>
      <w:rPr>
        <w:rFonts w:ascii="Arial" w:hAnsi="Arial" w:cs="Arial"/>
        <w:sz w:val="24"/>
        <w:szCs w:val="24"/>
      </w:rPr>
    </w:pPr>
    <w:r w:rsidRPr="00267401">
      <w:rPr>
        <w:rFonts w:ascii="Arial" w:hAnsi="Arial" w:cs="Arial"/>
        <w:noProof/>
        <w:sz w:val="24"/>
        <w:szCs w:val="24"/>
        <w:lang w:eastAsia="en-GB"/>
      </w:rPr>
      <w:drawing>
        <wp:anchor distT="0" distB="0" distL="114300" distR="114300" simplePos="0" relativeHeight="251656704" behindDoc="1" locked="0" layoutInCell="1" allowOverlap="1" wp14:anchorId="4822211B" wp14:editId="605CD994">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1">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Pr="00267401">
      <w:rPr>
        <w:rFonts w:ascii="Arial" w:hAnsi="Arial" w:cs="Arial"/>
        <w:sz w:val="24"/>
        <w:szCs w:val="24"/>
      </w:rPr>
      <w:t xml:space="preserve">NHS Grampian </w:t>
    </w:r>
  </w:p>
  <w:p w14:paraId="2230D81C" w14:textId="77777777" w:rsidR="008077C5" w:rsidRPr="00267401" w:rsidRDefault="008077C5" w:rsidP="008077C5">
    <w:pPr>
      <w:pStyle w:val="Footer"/>
      <w:jc w:val="right"/>
      <w:rPr>
        <w:rFonts w:ascii="Arial" w:hAnsi="Arial" w:cs="Arial"/>
        <w:sz w:val="24"/>
        <w:szCs w:val="24"/>
      </w:rPr>
    </w:pPr>
    <w:r w:rsidRPr="00267401">
      <w:rPr>
        <w:rFonts w:ascii="Arial" w:hAnsi="Arial" w:cs="Arial"/>
        <w:sz w:val="24"/>
        <w:szCs w:val="24"/>
      </w:rPr>
      <w:t>Pharmaceutical Care Services</w:t>
    </w:r>
  </w:p>
  <w:p w14:paraId="46DF7C4B" w14:textId="77777777" w:rsidR="008077C5" w:rsidRPr="00267401" w:rsidRDefault="008077C5" w:rsidP="008077C5">
    <w:pPr>
      <w:pStyle w:val="Header"/>
      <w:jc w:val="right"/>
      <w:rPr>
        <w:rFonts w:ascii="Arial" w:hAnsi="Arial" w:cs="Arial"/>
        <w:sz w:val="24"/>
        <w:szCs w:val="24"/>
      </w:rPr>
    </w:pPr>
    <w:r w:rsidRPr="00267401">
      <w:rPr>
        <w:rFonts w:ascii="Arial" w:hAnsi="Arial" w:cs="Arial"/>
        <w:sz w:val="24"/>
        <w:szCs w:val="24"/>
      </w:rPr>
      <w:t>Service Level Agreement</w:t>
    </w:r>
  </w:p>
  <w:p w14:paraId="06B02616" w14:textId="77777777" w:rsidR="008077C5" w:rsidRDefault="008077C5" w:rsidP="008077C5">
    <w:pPr>
      <w:pStyle w:val="Header"/>
      <w:jc w:val="right"/>
      <w:rPr>
        <w:rFonts w:cs="Arial"/>
      </w:rPr>
    </w:pPr>
  </w:p>
  <w:p w14:paraId="2EB1CF7E" w14:textId="77777777" w:rsidR="008077C5" w:rsidRDefault="006609F2" w:rsidP="008077C5">
    <w:pPr>
      <w:pStyle w:val="Header"/>
      <w:jc w:val="right"/>
    </w:pPr>
    <w:r>
      <w:rPr>
        <w:rFonts w:cs="Arial"/>
        <w:noProof/>
        <w:lang w:eastAsia="en-GB"/>
      </w:rPr>
      <w:drawing>
        <wp:anchor distT="0" distB="0" distL="114300" distR="114300" simplePos="0" relativeHeight="251660800" behindDoc="1" locked="0" layoutInCell="0" allowOverlap="1" wp14:anchorId="6513FB9F" wp14:editId="4AA90270">
          <wp:simplePos x="0" y="0"/>
          <wp:positionH relativeFrom="margin">
            <wp:posOffset>635</wp:posOffset>
          </wp:positionH>
          <wp:positionV relativeFrom="margin">
            <wp:posOffset>2004060</wp:posOffset>
          </wp:positionV>
          <wp:extent cx="5730240" cy="4390390"/>
          <wp:effectExtent l="0" t="0" r="0" b="0"/>
          <wp:wrapNone/>
          <wp:docPr id="2" name="Picture 2" descr="NHS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46705" descr="NHS 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439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67938"/>
    <w:multiLevelType w:val="hybridMultilevel"/>
    <w:tmpl w:val="4C0E0670"/>
    <w:lvl w:ilvl="0" w:tplc="2AA69382">
      <w:numFmt w:val="bullet"/>
      <w:lvlText w:val="•"/>
      <w:lvlJc w:val="left"/>
      <w:pPr>
        <w:ind w:left="730" w:hanging="720"/>
      </w:pPr>
      <w:rPr>
        <w:rFonts w:ascii="Calibri" w:eastAsia="Calibri" w:hAnsi="Calibri" w:cs="Calibri"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4B5F3675"/>
    <w:multiLevelType w:val="hybridMultilevel"/>
    <w:tmpl w:val="DC7E9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741620"/>
    <w:multiLevelType w:val="hybridMultilevel"/>
    <w:tmpl w:val="1D885410"/>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52500217"/>
    <w:multiLevelType w:val="hybridMultilevel"/>
    <w:tmpl w:val="9AC6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41B29"/>
    <w:multiLevelType w:val="hybridMultilevel"/>
    <w:tmpl w:val="A794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E62E0C"/>
    <w:multiLevelType w:val="hybridMultilevel"/>
    <w:tmpl w:val="581468C2"/>
    <w:lvl w:ilvl="0" w:tplc="2AA6938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9289E"/>
    <w:multiLevelType w:val="multilevel"/>
    <w:tmpl w:val="2E2EFC62"/>
    <w:lvl w:ilvl="0">
      <w:start w:val="1"/>
      <w:numFmt w:val="decimal"/>
      <w:pStyle w:val="Heading1"/>
      <w:lvlText w:val="%1."/>
      <w:lvlJc w:val="left"/>
      <w:pPr>
        <w:ind w:left="370" w:hanging="360"/>
      </w:pPr>
    </w:lvl>
    <w:lvl w:ilvl="1">
      <w:start w:val="1"/>
      <w:numFmt w:val="decimal"/>
      <w:isLgl/>
      <w:lvlText w:val="%1.%2"/>
      <w:lvlJc w:val="left"/>
      <w:pPr>
        <w:ind w:left="415" w:hanging="405"/>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1810" w:hanging="1800"/>
      </w:pPr>
      <w:rPr>
        <w:rFonts w:hint="default"/>
      </w:rPr>
    </w:lvl>
  </w:abstractNum>
  <w:abstractNum w:abstractNumId="7" w15:restartNumberingAfterBreak="0">
    <w:nsid w:val="712E4417"/>
    <w:multiLevelType w:val="hybridMultilevel"/>
    <w:tmpl w:val="D556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0"/>
  </w:num>
  <w:num w:numId="6">
    <w:abstractNumId w:val="1"/>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E5"/>
    <w:rsid w:val="00041BE9"/>
    <w:rsid w:val="0022033B"/>
    <w:rsid w:val="00232757"/>
    <w:rsid w:val="002421D4"/>
    <w:rsid w:val="00267401"/>
    <w:rsid w:val="00300E15"/>
    <w:rsid w:val="004C62A5"/>
    <w:rsid w:val="005332A7"/>
    <w:rsid w:val="005C1E7C"/>
    <w:rsid w:val="00614B08"/>
    <w:rsid w:val="006609F2"/>
    <w:rsid w:val="006D34E5"/>
    <w:rsid w:val="00797021"/>
    <w:rsid w:val="008077C5"/>
    <w:rsid w:val="00907ED2"/>
    <w:rsid w:val="009641FA"/>
    <w:rsid w:val="009D0BBF"/>
    <w:rsid w:val="00AB432D"/>
    <w:rsid w:val="00AE4B92"/>
    <w:rsid w:val="00CA0744"/>
    <w:rsid w:val="00CC14C0"/>
    <w:rsid w:val="00CD71D0"/>
    <w:rsid w:val="00D1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145693"/>
  <w15:docId w15:val="{1F2D30E7-F624-4179-B9D4-810A8F09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15"/>
  </w:style>
  <w:style w:type="paragraph" w:styleId="Heading1">
    <w:name w:val="heading 1"/>
    <w:basedOn w:val="Normal"/>
    <w:next w:val="Normal"/>
    <w:link w:val="Heading1Char"/>
    <w:autoRedefine/>
    <w:uiPriority w:val="9"/>
    <w:qFormat/>
    <w:rsid w:val="008077C5"/>
    <w:pPr>
      <w:keepNext/>
      <w:keepLines/>
      <w:numPr>
        <w:numId w:val="8"/>
      </w:numPr>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34E5"/>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D34E5"/>
    <w:rPr>
      <w:sz w:val="16"/>
      <w:szCs w:val="16"/>
    </w:rPr>
  </w:style>
  <w:style w:type="paragraph" w:styleId="CommentText">
    <w:name w:val="annotation text"/>
    <w:basedOn w:val="Normal"/>
    <w:link w:val="CommentTextChar"/>
    <w:uiPriority w:val="99"/>
    <w:semiHidden/>
    <w:unhideWhenUsed/>
    <w:rsid w:val="006D34E5"/>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6D34E5"/>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6D3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4E5"/>
    <w:rPr>
      <w:rFonts w:ascii="Segoe UI" w:hAnsi="Segoe UI" w:cs="Segoe UI"/>
      <w:sz w:val="18"/>
      <w:szCs w:val="18"/>
    </w:rPr>
  </w:style>
  <w:style w:type="paragraph" w:styleId="ListParagraph">
    <w:name w:val="List Paragraph"/>
    <w:basedOn w:val="Normal"/>
    <w:uiPriority w:val="34"/>
    <w:qFormat/>
    <w:rsid w:val="005332A7"/>
    <w:pPr>
      <w:ind w:left="720"/>
      <w:contextualSpacing/>
    </w:pPr>
  </w:style>
  <w:style w:type="character" w:styleId="Hyperlink">
    <w:name w:val="Hyperlink"/>
    <w:basedOn w:val="DefaultParagraphFont"/>
    <w:uiPriority w:val="99"/>
    <w:unhideWhenUsed/>
    <w:rsid w:val="005332A7"/>
    <w:rPr>
      <w:color w:val="0563C1" w:themeColor="hyperlink"/>
      <w:u w:val="single"/>
    </w:rPr>
  </w:style>
  <w:style w:type="table" w:styleId="TableGrid0">
    <w:name w:val="Table Grid"/>
    <w:basedOn w:val="TableNormal"/>
    <w:uiPriority w:val="39"/>
    <w:rsid w:val="0022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033B"/>
    <w:pPr>
      <w:spacing w:after="0" w:line="240" w:lineRule="auto"/>
    </w:pPr>
  </w:style>
  <w:style w:type="paragraph" w:styleId="CommentSubject">
    <w:name w:val="annotation subject"/>
    <w:basedOn w:val="CommentText"/>
    <w:next w:val="CommentText"/>
    <w:link w:val="CommentSubjectChar"/>
    <w:uiPriority w:val="99"/>
    <w:semiHidden/>
    <w:unhideWhenUsed/>
    <w:rsid w:val="00AB432D"/>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AB432D"/>
    <w:rPr>
      <w:rFonts w:ascii="Calibri" w:eastAsia="Calibri" w:hAnsi="Calibri" w:cs="Calibri"/>
      <w:b/>
      <w:bCs/>
      <w:color w:val="000000"/>
      <w:sz w:val="20"/>
      <w:szCs w:val="20"/>
      <w:lang w:eastAsia="en-GB"/>
    </w:rPr>
  </w:style>
  <w:style w:type="paragraph" w:styleId="Revision">
    <w:name w:val="Revision"/>
    <w:hidden/>
    <w:uiPriority w:val="99"/>
    <w:semiHidden/>
    <w:rsid w:val="00041BE9"/>
    <w:pPr>
      <w:spacing w:after="0" w:line="240" w:lineRule="auto"/>
    </w:pPr>
  </w:style>
  <w:style w:type="table" w:styleId="MediumShading2-Accent5">
    <w:name w:val="Medium Shading 2 Accent 5"/>
    <w:basedOn w:val="TableNormal"/>
    <w:uiPriority w:val="64"/>
    <w:rsid w:val="00041B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807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7C5"/>
  </w:style>
  <w:style w:type="paragraph" w:styleId="Footer">
    <w:name w:val="footer"/>
    <w:basedOn w:val="Normal"/>
    <w:link w:val="FooterChar"/>
    <w:uiPriority w:val="99"/>
    <w:unhideWhenUsed/>
    <w:rsid w:val="00807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7C5"/>
  </w:style>
  <w:style w:type="character" w:customStyle="1" w:styleId="Heading1Char">
    <w:name w:val="Heading 1 Char"/>
    <w:basedOn w:val="DefaultParagraphFont"/>
    <w:link w:val="Heading1"/>
    <w:uiPriority w:val="9"/>
    <w:rsid w:val="008077C5"/>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6609F2"/>
    <w:pPr>
      <w:numPr>
        <w:numId w:val="0"/>
      </w:num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6609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regulations/waste/activities-exempt-from-waste-management-licensing/" TargetMode="External"/><Relationship Id="rId18" Type="http://schemas.openxmlformats.org/officeDocument/2006/relationships/hyperlink" Target="https://www.sepa.org.uk/regulations/waste/activities-exempt-from-waste-management-licensing/" TargetMode="External"/><Relationship Id="rId26" Type="http://schemas.openxmlformats.org/officeDocument/2006/relationships/hyperlink" Target="https://www.sepa.org.uk/regulations/waste/activities-exempt-from-waste-management-licensing/" TargetMode="External"/><Relationship Id="rId39" Type="http://schemas.openxmlformats.org/officeDocument/2006/relationships/hyperlink" Target="http://www.sepa.org.uk/" TargetMode="External"/><Relationship Id="rId3" Type="http://schemas.openxmlformats.org/officeDocument/2006/relationships/styles" Target="styles.xml"/><Relationship Id="rId21" Type="http://schemas.openxmlformats.org/officeDocument/2006/relationships/hyperlink" Target="https://www.sepa.org.uk/regulations/waste/activities-exempt-from-waste-management-licensing/" TargetMode="External"/><Relationship Id="rId34" Type="http://schemas.openxmlformats.org/officeDocument/2006/relationships/hyperlink" Target="http://www.hfs.scot.nhs.uk/publications-/" TargetMode="External"/><Relationship Id="rId42" Type="http://schemas.openxmlformats.org/officeDocument/2006/relationships/hyperlink" Target="mailto:neil.duncan3@nhs.sco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pa.org.uk/regulations/waste/activities-exempt-from-waste-management-licensing/" TargetMode="External"/><Relationship Id="rId17" Type="http://schemas.openxmlformats.org/officeDocument/2006/relationships/hyperlink" Target="https://www.sepa.org.uk/regulations/waste/activities-exempt-from-waste-management-licensing/" TargetMode="External"/><Relationship Id="rId25" Type="http://schemas.openxmlformats.org/officeDocument/2006/relationships/hyperlink" Target="https://www.sepa.org.uk/regulations/waste/activities-exempt-from-waste-management-licensing/" TargetMode="External"/><Relationship Id="rId33" Type="http://schemas.openxmlformats.org/officeDocument/2006/relationships/hyperlink" Target="http://www.hphsgrampian.scot.nhs.uk/" TargetMode="External"/><Relationship Id="rId38" Type="http://schemas.openxmlformats.org/officeDocument/2006/relationships/hyperlink" Target="http://www.sepa.org.uk/" TargetMode="External"/><Relationship Id="rId46"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sepa.org.uk/regulations/waste/activities-exempt-from-waste-management-licensing/" TargetMode="External"/><Relationship Id="rId20" Type="http://schemas.openxmlformats.org/officeDocument/2006/relationships/hyperlink" Target="https://www.sepa.org.uk/regulations/waste/activities-exempt-from-waste-management-licensing/" TargetMode="External"/><Relationship Id="rId29" Type="http://schemas.openxmlformats.org/officeDocument/2006/relationships/hyperlink" Target="https://www.sepa.org.uk/regulations/waste/activities-exempt-from-waste-management-licensing/" TargetMode="External"/><Relationship Id="rId41" Type="http://schemas.openxmlformats.org/officeDocument/2006/relationships/hyperlink" Target="http://www.communitypharmacy.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pa.org.uk/regulations/waste/activities-exempt-from-waste-management-licensing/" TargetMode="External"/><Relationship Id="rId24" Type="http://schemas.openxmlformats.org/officeDocument/2006/relationships/hyperlink" Target="https://www.sepa.org.uk/regulations/waste/activities-exempt-from-waste-management-licensing/" TargetMode="External"/><Relationship Id="rId32" Type="http://schemas.openxmlformats.org/officeDocument/2006/relationships/hyperlink" Target="http://www.hphsgrampian.scot.nhs.uk/" TargetMode="External"/><Relationship Id="rId37" Type="http://schemas.openxmlformats.org/officeDocument/2006/relationships/hyperlink" Target="http://www.hfs.scot.nhs.uk/publications-/" TargetMode="External"/><Relationship Id="rId40" Type="http://schemas.openxmlformats.org/officeDocument/2006/relationships/hyperlink" Target="http://www.communitypharmacy.scot.nhs.uk/" TargetMode="External"/><Relationship Id="rId45" Type="http://schemas.openxmlformats.org/officeDocument/2006/relationships/hyperlink" Target="mailto:admin@perfecthygiene.co.uk" TargetMode="External"/><Relationship Id="rId5" Type="http://schemas.openxmlformats.org/officeDocument/2006/relationships/webSettings" Target="webSettings.xml"/><Relationship Id="rId15" Type="http://schemas.openxmlformats.org/officeDocument/2006/relationships/hyperlink" Target="https://www.sepa.org.uk/regulations/waste/activities-exempt-from-waste-management-licensing/" TargetMode="External"/><Relationship Id="rId23" Type="http://schemas.openxmlformats.org/officeDocument/2006/relationships/hyperlink" Target="https://www.sepa.org.uk/regulations/waste/activities-exempt-from-waste-management-licensing/" TargetMode="External"/><Relationship Id="rId28" Type="http://schemas.openxmlformats.org/officeDocument/2006/relationships/hyperlink" Target="https://www.sepa.org.uk/regulations/waste/activities-exempt-from-waste-management-licensing/" TargetMode="External"/><Relationship Id="rId36" Type="http://schemas.openxmlformats.org/officeDocument/2006/relationships/hyperlink" Target="http://www.hfs.scot.nhs.uk/publications-/" TargetMode="External"/><Relationship Id="rId49" Type="http://schemas.openxmlformats.org/officeDocument/2006/relationships/fontTable" Target="fontTable.xml"/><Relationship Id="rId10" Type="http://schemas.openxmlformats.org/officeDocument/2006/relationships/hyperlink" Target="https://www.sepa.org.uk/regulations/waste/activities-exempt-from-waste-management-licensing/" TargetMode="External"/><Relationship Id="rId19" Type="http://schemas.openxmlformats.org/officeDocument/2006/relationships/hyperlink" Target="https://www.sepa.org.uk/regulations/waste/activities-exempt-from-waste-management-licensing/" TargetMode="External"/><Relationship Id="rId31" Type="http://schemas.openxmlformats.org/officeDocument/2006/relationships/hyperlink" Target="mailto:gram.pcctpharmacy@nhs.scot" TargetMode="External"/><Relationship Id="rId44" Type="http://schemas.openxmlformats.org/officeDocument/2006/relationships/hyperlink" Target="https://www.perfecthygiene.co.uk/nhs.html" TargetMode="External"/><Relationship Id="rId4" Type="http://schemas.openxmlformats.org/officeDocument/2006/relationships/settings" Target="settings.xml"/><Relationship Id="rId9" Type="http://schemas.openxmlformats.org/officeDocument/2006/relationships/hyperlink" Target="https://www.sepa.org.uk/regulations/waste/activities-exempt-from-waste-management-licensing/" TargetMode="External"/><Relationship Id="rId14" Type="http://schemas.openxmlformats.org/officeDocument/2006/relationships/hyperlink" Target="https://www.sepa.org.uk/regulations/waste/activities-exempt-from-waste-management-licensing/" TargetMode="External"/><Relationship Id="rId22" Type="http://schemas.openxmlformats.org/officeDocument/2006/relationships/hyperlink" Target="https://www.sepa.org.uk/regulations/waste/activities-exempt-from-waste-management-licensing/" TargetMode="External"/><Relationship Id="rId27" Type="http://schemas.openxmlformats.org/officeDocument/2006/relationships/hyperlink" Target="https://www.sepa.org.uk/regulations/waste/activities-exempt-from-waste-management-licensing/" TargetMode="External"/><Relationship Id="rId30" Type="http://schemas.openxmlformats.org/officeDocument/2006/relationships/hyperlink" Target="https://www.sepa.org.uk/regulations/waste/activities-exempt-from-waste-management-licensing/" TargetMode="External"/><Relationship Id="rId35" Type="http://schemas.openxmlformats.org/officeDocument/2006/relationships/hyperlink" Target="http://www.hfs.scot.nhs.uk/publications-/" TargetMode="External"/><Relationship Id="rId43" Type="http://schemas.openxmlformats.org/officeDocument/2006/relationships/hyperlink" Target="mailto:NHSScotland-customerservices@tradebe.com" TargetMode="External"/><Relationship Id="rId48" Type="http://schemas.openxmlformats.org/officeDocument/2006/relationships/footer" Target="footer1.xml"/><Relationship Id="rId8" Type="http://schemas.openxmlformats.org/officeDocument/2006/relationships/hyperlink" Target="https://www.sepa.org.uk/regulations/waste/activities-exempt-from-waste-management-licen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B8F8-8B6B-4ACC-AC86-2C62CDDA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4</cp:revision>
  <dcterms:created xsi:type="dcterms:W3CDTF">2025-04-01T10:51:00Z</dcterms:created>
  <dcterms:modified xsi:type="dcterms:W3CDTF">2025-06-19T07:02:00Z</dcterms:modified>
</cp:coreProperties>
</file>